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30.2004.265 vom 8. September 2004</w:t>
      </w:r>
    </w:p>
    <w:p>
      <w:r>
        <w:t>TI Tribunale d'appello, 2004-09-08, IT</w:t>
      </w:r>
    </w:p>
    <w:p>
      <w:r>
        <w:rPr>
          <w:b/>
        </w:rPr>
        <w:t xml:space="preserve">Quelle: </w:t>
      </w:r>
      <w:r>
        <w:t>https://mcp.opencaselaw.ch/entscheid/ti_gerichte_30.2004.265</w:t>
      </w:r>
    </w:p>
    <w:p>
      <w:r>
        <w:t>FR: TI_GERICHTE 30.2004.265 du 8 septembre 2004</w:t>
      </w:r>
    </w:p>
    <w:p>
      <w:r>
        <w:t>IT: TI_GERICHTE 30.2004.265 del 8 settembre 2004</w:t>
      </w:r>
    </w:p>
    <w:p>
      <w:pPr>
        <w:pStyle w:val="Heading2"/>
      </w:pPr>
      <w:r>
        <w:t>Volltext</w:t>
      </w:r>
    </w:p>
    <w:p>
      <w:r>
        <w:t>Incarto n.30.2004.265/pg</w:t>
      </w:r>
    </w:p>
    <w:p>
      <w:r>
        <w:t>16469/206</w:t>
      </w:r>
    </w:p>
    <w:p>
      <w:r>
        <w:t>Bellinzona</w:t>
      </w:r>
    </w:p>
    <w:p>
      <w:r>
        <w:t>8 settembre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__________ in qualità di segretario, per statuire sul ricorso 25 agosto, ma inoltrato in data 1 settembre 2004, presentato da</w:t>
      </w:r>
    </w:p>
    <w:p>
      <w:r>
        <w:t>RI1I</w:t>
      </w:r>
    </w:p>
    <w:p>
      <w:r>
        <w:t>contro</w:t>
      </w:r>
    </w:p>
    <w:p>
      <w:r>
        <w:t>la decisione 16 luglio 2004 emessa d _CRTE1</w:t>
      </w:r>
    </w:p>
    <w:p>
      <w:r>
        <w:t>letti ed esaminati gli atti;</w:t>
      </w:r>
    </w:p>
    <w:p>
      <w:r>
        <w:t>ritenuto,                            in fatto ed in diritto</w:t>
      </w:r>
    </w:p>
    <w:p>
      <w:r>
        <w:t>A.Con scritto 25 agosto 2004, ma inoltrato il 1° settembre 2004, __________ ha inoltrato ricorso contro la decisione 16 luglio 2004 con cui _CRTE1gli ha inflitto una multa di fr. 260.-, oltra la tassa di giustizia di fr. 60.- e le spese di fr. 20.-, per aver circolato con il veicolo __________ superando da 21 a 25 km/h, su un'autostrada, il limite massimo di velocità di 80 km/h, dopo deduzione del margine di tolleranza accordato per ragioni tecniche. Velocità punibile 103 km/h.</w:t>
      </w:r>
    </w:p>
    <w:p>
      <w:r>
        <w:t>B.Si rileva che la menzionata decisione è stata intimatata al ricorrente il 16 luglio 2004; ne consegue che il termine perentorio di 15 giorni per la presentazione del ricorso, ai sensi degli art. 4 cpv. 2 e 7 cpv. 5 LPContr, è scaduto infruttuosamente prima del 1° settembre 2004, data in cui l'insorgente ha inoltrato il proprio gravame.</w:t>
      </w:r>
    </w:p>
    <w:p>
      <w:r>
        <w:t>Pertanto il ricorso è tardivo e deve essere dichiarato irricevibile.</w:t>
      </w:r>
    </w:p>
    <w:p>
      <w:r>
        <w:t>Per questi motivi,                visti gli artt. 4, 7, 15 LPContr;</w:t>
      </w:r>
    </w:p>
    <w:p>
      <w:r>
        <w:t>dichiara e</w:t>
      </w:r>
    </w:p>
    <w:p>
      <w:r>
        <w:t>pronuncia:                1.Il ricorso 25 agosto 2004 inoltrato da RI1è irricevibile.</w:t>
      </w:r>
    </w:p>
    <w:p>
      <w:r>
        <w:t>2.Non si prelevano né tasse, né spese.</w:t>
      </w:r>
    </w:p>
    <w:p>
      <w:r>
        <w:t>3.Intimazione a:</w:t>
      </w:r>
    </w:p>
    <w:p>
      <w:r>
        <w:t>I</w:t>
      </w:r>
    </w:p>
    <w:p>
      <w:r>
        <w:t>Il presidente: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