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30.2004.199 vom 9. September 2004</w:t>
      </w:r>
    </w:p>
    <w:p>
      <w:r>
        <w:t>TI Tribunale d'appello, 2004-09-09, IT</w:t>
      </w:r>
    </w:p>
    <w:p>
      <w:r>
        <w:rPr>
          <w:b/>
        </w:rPr>
        <w:t xml:space="preserve">Quelle: </w:t>
      </w:r>
      <w:r>
        <w:t>https://mcp.opencaselaw.ch/entscheid/ti_gerichte_30.2004.199</w:t>
      </w:r>
    </w:p>
    <w:p>
      <w:r>
        <w:t>FR: TI_GERICHTE 30.2004.199 du 9 septembre 2004</w:t>
      </w:r>
    </w:p>
    <w:p>
      <w:r>
        <w:t>IT: TI_GERICHTE 30.2004.199 del 9 settembre 2004</w:t>
      </w:r>
    </w:p>
    <w:p>
      <w:pPr>
        <w:pStyle w:val="Heading2"/>
      </w:pPr>
      <w:r>
        <w:t>Volltext</w:t>
      </w:r>
    </w:p>
    <w:p>
      <w:r>
        <w:t>Incarto n.30.2004.199/AMM</w:t>
      </w:r>
    </w:p>
    <w:p>
      <w:r>
        <w:t>13782/207</w:t>
      </w:r>
    </w:p>
    <w:p>
      <w:r>
        <w:t>Bellinzona</w:t>
      </w:r>
    </w:p>
    <w:p>
      <w:r>
        <w:t>9 settembre 2004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__________ in qualità di segretaria per statuire sul ricorso del 25 giugno 2004 presentato da</w:t>
      </w:r>
    </w:p>
    <w:p>
      <w:r>
        <w:t>__________</w:t>
      </w:r>
    </w:p>
    <w:p>
      <w:r>
        <w:t>contro</w:t>
      </w:r>
    </w:p>
    <w:p>
      <w:r>
        <w:t>la decisione n. 13782/207 dell'11 giugno 2004 emessa d _CRTE1</w:t>
      </w:r>
    </w:p>
    <w:p>
      <w:r>
        <w:t>viste                                  le osservazioni dell'8 luglio 2004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circolazione,con decisione dell'11 giugno 2004, ha inflitto ad __________ una multa di fr. 100., addebitandole inoltre una tassa di giustizia di fr. 20. e le spese di fr. 30., per i seguenti fatti accertati il 25 marzo 2004 in territorio Sementina:</w:t>
      </w:r>
    </w:p>
    <w:p>
      <w:r>
        <w:t>"alla guida della vettura __________ s'inoltrava in un'intersezione senza concedere la precedenza ad un autoveicolo sopraggiungente da destra, collidendo conseguentemente con quest'ultimo";</w:t>
      </w:r>
    </w:p>
    <w:p>
      <w:r>
        <w:t>che la risoluzione è stata emessa in applicazione degli art. 36 cpv. 2 e 90 n. 1 LCS; 14 cpv. 1 ONC;</w:t>
      </w:r>
    </w:p>
    <w:p>
      <w:r>
        <w:t>che __________ è insorta contro tale decisione con un ricorso del 25 giugno 2004 in cui postula l'annullamento del querelato giudizio;</w:t>
      </w:r>
    </w:p>
    <w:p>
      <w:r>
        <w:t>che nelle osservazioni dell'8 luglio 2004 la Sezione della circolazione propone di respingere il ricorso e di confermare la decisione impugnata;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ricevibile;</w:t>
      </w:r>
    </w:p>
    <w:p>
      <w:r>
        <w:t>che non è il caso di disporre i complementi istruttori prospettati dalla multata, il ricorso dovendo essere accolto  comunque sia  per i motivi esposti in appresso;</w:t>
      </w:r>
    </w:p>
    <w:p>
      <w:r>
        <w:t>che giusta l'art. 36 cpv. 2 prima frase LCS, alle intersezioni la precedenza spetta al veicolo che giunge da destra;</w:t>
      </w:r>
    </w:p>
    <w:p>
      <w:r>
        <w:t>che chi è tenuto a dare la precedenza non deve ostacolare la marcia di chi ne ha diritto; egli deve ridurre per tempo la velocità e, se è obbligato ad aspettare, fermarsi prima dell'intersezione (art. 14 cpv. 1 ONC);</w:t>
      </w:r>
    </w:p>
    <w:p>
      <w:r>
        <w:t>che chiunque contravviene alle norme della circolazione contenute nella LCS o nelle prescrizioni di esecuzione del Consiglio federale è punito con l'arresto o con la multa (art. 90 n. 1 LCS);</w:t>
      </w:r>
    </w:p>
    <w:p>
      <w:r>
        <w:t>che la Sezione della circolazione rimprovera alla multata di essersi inoltrata con la propria vettura  in violazione delle predette disposizioni  "in un'intersezione senza concedere la precedenza ad un autoveicolo sopraggiungente da destra, collidendo conseguentemente con quest'ultimo";</w:t>
      </w:r>
    </w:p>
    <w:p>
      <w:r>
        <w:t>che l'insorgente nega dal canto suo ogni addebito, sottolineando  fra l'altro  di non essersi ancora inoltrata nell'intersezione nel momento del sinistro (ricorso, in particolare pag. 4, punto 6.3);</w:t>
      </w:r>
    </w:p>
    <w:p>
      <w:r>
        <w:t>che secondo il Tribunale federale, l'intersezione è costituita dall'intera superficie sulla quale s'intersecano i tracciati delle due strade (cfr. DTF 116 IV 157);</w:t>
      </w:r>
    </w:p>
    <w:p>
      <w:r>
        <w:t>che il debitore della priorità non è quindi tenuto a fermarsi già all'inizio dell'arrotondamento del margine stradale, ma può avanzare fino alla linea ideale di prolungamento del bordo della via prioritaria (v.Bussy/Rusconi,Code suisse de la circulation routière, commentaire, 3ª edizione, n. 3.2.4.a ad art. 36 LCS);</w:t>
      </w:r>
    </w:p>
    <w:p>
      <w:r>
        <w:t>che in concreto, dal piano di situazione allegato al rapporto di polizia si evince come la vettura della multata  ritratta nella posizione assunta in seguito alla collisione (rapporto citato, pag. 4 in alto)  non si era ancora immessa nell'intersezione al momento del sinistro;</w:t>
      </w:r>
    </w:p>
    <w:p>
      <w:r>
        <w:t>che tale veicolo, così come la zona di rinvenimento dei cocci e vetri di entrambe le vetture coinvolte nell'urto, si trovano in effetti dietro la linea ideale di prolungamento del margine sinistro della strada prioritaria;</w:t>
      </w:r>
    </w:p>
    <w:p>
      <w:r>
        <w:t>che ciò posto, l'autorità di primo grado non può essere seguita laddove rimprovera alla multata di essersi "inoltra[ta]in un'intersezione senza concedere la precedenza ad un autoveicolo sopraggiungente da destra";</w:t>
      </w:r>
    </w:p>
    <w:p>
      <w:r>
        <w:t>che dato quanto precede, s'impone in definitiva di accogliere il ricorso e di annullare la decisione impugnata;</w:t>
      </w:r>
    </w:p>
    <w:p>
      <w:r>
        <w:t>che gli oneri dell'attuale giudizio seguirebbero la soccombenza (art. 15 cpv. 2 LPContr);</w:t>
      </w:r>
    </w:p>
    <w:p>
      <w:r>
        <w:t>che non si giustifica tuttavia di addebitare tasse o spese all'autorità di primo grado, la quale ha agito nell'ambito delle proprie attribuzioni ufficiali;</w:t>
      </w:r>
    </w:p>
    <w:p>
      <w:r>
        <w:t>che, sulle ripetibili, la LPContr non contiene alcuna norma che imponga o semplicemente consenta all'autorità giudicante di attribuire indennità alla parte vincente, né un simile principio scaturisce dal diritto federale (cfr. DTF 105 Ia 128 consid. 2b);</w:t>
      </w:r>
    </w:p>
    <w:p>
      <w:r>
        <w:t>per questi motivi                 visti gli art. 36 cpv. 2 e 90 n. 1 LCS; 14 cpv. 1 ONC; 1 segg. LPContr;</w:t>
      </w:r>
    </w:p>
    <w:p>
      <w:r>
        <w:t>pronuncia:1.     Il ricorso è accolto e la decisione impugnata è annullata.</w:t>
      </w:r>
    </w:p>
    <w:p>
      <w:r>
        <w:t>2.     Non si prelevano tasse o spese, né si assegnano ripetibili.</w:t>
      </w:r>
    </w:p>
    <w:p>
      <w:r>
        <w:t>3.     Intimazione a:</w:t>
      </w:r>
    </w:p>
    <w:p>
      <w:r>
        <w:t>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