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30.2004.18 vom 2. Februar 2004</w:t>
      </w:r>
    </w:p>
    <w:p>
      <w:r>
        <w:t>TI Tribunale d'appello, 2004-02-02, IT</w:t>
      </w:r>
    </w:p>
    <w:p>
      <w:r>
        <w:rPr>
          <w:b/>
        </w:rPr>
        <w:t xml:space="preserve">Quelle: </w:t>
      </w:r>
      <w:r>
        <w:t>https://mcp.opencaselaw.ch/entscheid/ti_gerichte_30.2004.18</w:t>
      </w:r>
    </w:p>
    <w:p>
      <w:r>
        <w:t>FR: TI_GERICHTE 30.2004.18 du 2 février 2004</w:t>
      </w:r>
    </w:p>
    <w:p>
      <w:r>
        <w:t>IT: TI_GERICHTE 30.2004.18 del 2 febbraio 2004</w:t>
      </w:r>
    </w:p>
    <w:p>
      <w:pPr>
        <w:pStyle w:val="Heading2"/>
      </w:pPr>
      <w:r>
        <w:t>Regeste</w:t>
      </w:r>
    </w:p>
    <w:p>
      <w:r>
        <w:t>Sentenza o decisione senza scheda</w:t>
      </w:r>
    </w:p>
    <w:p>
      <w:pPr>
        <w:pStyle w:val="Heading2"/>
      </w:pPr>
      <w:r>
        <w:t>Erwägungen</w:t>
      </w:r>
    </w:p>
    <w:p>
      <w:r>
        <w:rPr>
          <w:b/>
        </w:rPr>
        <w:t>E. 4</w:t>
      </w:r>
    </w:p>
    <w:p>
      <w:r>
        <w:t>l'informazione deve aver indotto il destinatario ad adottare un comportamento che gli è pregiudizievole.</w:t>
      </w:r>
    </w:p>
    <w:p>
      <w:r>
        <w:rPr>
          <w:b/>
        </w:rPr>
        <w:t>E. 5</w:t>
      </w:r>
    </w:p>
    <w:p>
      <w:r>
        <w:t>la legge non deve essere cambiata dal momento in cui l'informazione è stata data (RAMI 1991 p. 68ss; DTF 113 V 87 consid. 4c; 112 V 199 consid. 3a; 111 V 71; 110 V 155 consid. 4b; 109 V 55). La giurisprudenza applicabile in materia, in relazione con l'art. 4 v. Cost. (DTF 121 V 66 consid. 2) è applicabile anche in virtù del nuovo art. 9 Cost. (RAMI 2000 p. 223). 2.14.   A mente del TCA, nel caso di specie, i presupposti per tutelare la buona fede non sono dati. Infatti, in nessuna occasione l'amministrazione ha fornito indicazioni vincolanti per quanto concerne il lavoro svolto dall'assicurato. A differenza di altri casi giudicati da questo TCA (cfr. per tutte: STCA del 23 maggio 2003 nella causa R., 30.2002.115-116) nella fattispecie non vi sono stati controlli precedenti da parte di ispettori circa lo statuto dell'assicurato nei confronti della società, né sono state date informazioni errate da parte CO 1. La Cassa, nell'ambito della revisione della società ricorrente, ha infatti esaminato anno per anno, dal 2000 al 2002, se l'affiliazione quale indipendente dell'interessato era corretta. Avendo riscontrato, per il biennio 2001/2002, una forte dipendenza economica, ha affiliato l'interessato quale dipendente della ricorrente. Per il 2000, invece, l'amministrazione ha confermato la qualifica quale indipendente. Ciò non basta tuttavia a ritenere una violazione del principio della buona fede. Infatti non risulta dagli atti che l'assicurato prima del 1999 (ossia precedentemente al periodo cui si riferisce l'ispezione) avesse già lavorato per la ricorrente. Anzi, dalle risposte fornite emerge che la collaborazione ha avuto inizio solo nel 2000, anno in cui, tuttavia, l'affiliazione come indipendente si giustificava (doc. VII). Il fatto che in precedenza altri assicurati hanno svolto lo stesso lavoro per l'insorgente e sono stati considerati come indipendenti, in mancanza di un'informazione concreta da parte della Cassa circa la situazione dell'assicurato non può essere costitutivo di una violazione del principio della buona fede, né della parità di trattamento (cfr. anche STCA del 13 aprile 2004, inc. 30.2004.4+6, non ancora cresciuta in giudicato). Ciò vale pure per asserite disparità di trattamento per quanto concerne l'affiliazione di altri assicurati che, lavorando per altre società, sono stati affiliati come indipendenti. Infatti, non può esservi uguaglianza di trattamento fra assicurati qualora vi sia un'applicazione illegale di norme giuridiche. In proposito si osserva che in una sentenza del 4 giugno 2003 (K31/03), il Tribunale federale delle assicurazioni ha nuovamente ribadito la propria costante giurisprudenza: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In simili condizioni il ricorso, nella misura in cui non è divenuto privo di oggetto, va respinto. 2.15.   Da ultimo l'insorgente ha chiesto l'assunzione di ulteriori prove (doc. I, V e XI: audizione di testi e richiamo di tutta la documentazione della CO 1 che lo concerne), nonché di essere sentito. In merito il TCA rileva innanzitutto che le audizioni richieste possono essere rifiutate senza per questo ledere il diritto d’essere sentito, sancito dalla Costituzione federale e dall'art. 6 n. 1 CEDU. Infatti, secondo la giurisprudenza,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(STFA dell'8 novembre 1999 nella causa H., H 74/99 , consid. 5b pag. 6; DTF 122 V 47; cfr. pure DTF 124 V 90 consid. 6 pag. 94).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3 maggio 2004 nella causa D., H 318/02, STFA del 5 giugno 2003 nella causa V.C. e R.G., H 268/01 e 269/01; STFA del 13 maggio 2003 nella causa T.T.C. SA,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e degli ulteriori accertamenti, tra i quali in particolare, le risposte scritte fornite da __________ non contestate nel loro contenuto, questo Tribunale rinuncia all'assunzione di ulteriori prove, in particolare all'audizione di testimoni ed all'assunzione della documentazione richiamata. In particolare le testimonianze di __________, non modificherebbero l'esito della vertenza considerato che oggetto del contendere è unicamente lo statuto di indipendente di __________ già interpellato da questo TCA, e che ha fornito risposte esaustive circa la sua attività. Come visto, la posizione di altri collaboratori della ricorrente è ininfluente nella misura in cui non può esserci uguaglianza nell'illegalità. Per quanto concerne invece ulteriore documentazione, in particolare l'incarto della cassa, va evidenziato che comunque gli atti dell'incarto sono già sufficienti a questo Tribunale per determinarsi in merito. Infine, alla luce degli accertamenti già effettuati, un'audizione della società risulta inutile nella misura in cui essa si è già potuta esprimere sulla documentazione rilevante. 2.16.   Infine, per quanto concerne le ripetibili, va evidenziato quanto segue. La Cassa, in seguito al ricorso della società ed in particolare alle motivazioni ivi contenute a proposito della circostanza che __________ aveva già esercitato la stessa professione per la stessa società negli anni precedenti ed era stato qualificato quale indipendente, ha annullato la ripresa di fr. 47'482.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del 20 agosto 2003 nella causa B., C 56/03,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 disposizione cantonale suenunciata e alla luce della giurisprudenza federale appena illustrata, anche nel nostro Cantone, la regolamentazione cantonale non deve essere adeguata all'art. 61 lett. g LPGA che è dunque immediatamente applicabile (cfr. STCA del 24 novembre 2003, nella causa C., inc. 38.2003.49 e STCA del 31 marzo 2003 nella causa P., 30.2003.69). Recentemente il TFA in DTF 129 V 113, a proposito di uno stralcio dai ruoli di un ricorso divenuto privo di oggetto in seguito alla modifica della decisione da parte della Cassa pendente lite, ha affermato: " 3.1 In ständiger Rechtsprechung hat das Eidgenössische Versicherungsgericht im Rahmen von Art. 85 Abs. 2 lit. f AHVG den Anspruch der Beschwerde führenden Partei auf Entschädigung auch bei Eintritt von Gegenstandslosigkeit anerkannt, wenn es die Prozessaussichten rechtfertigen. Massgeblich sind die Prozessaussichten, wie sie sich vor Eintritt der Gegenstandslosigkeit darboten ( BGE 110 V 57 Erw. 3a, 109 V 71 Erw. 1, 106 V 124)." Nel caso di specie è incontestato che se la Cassa non avesse modificato la propria decisione contestualmente con l'invio della risposta, l'assicurato avrebbe parzialmente vinto il ricorso. Nel calcolo delle ripetibili occorre tuttavia tener conto dell'importanza della lite e la complessità del procedimento. Come evidenziato dall'amministrazione se l'assicurata avesse sollevato l'argomentazione pertinente già in sede di opposizione, verosimilmente la cassa avrebbe parzialmente modificato la decisione già in precedenza. Del resto tuttavia, l'amministrazione è tenuta ad applicare il diritto d'ufficio ed ha procedere agli accertamenti necessari (cfr. art. 43 LPGA). Ora, la problematica della buona fede ha dato luogo a numerosissime sentenze in questi ultimi mesi da parte del TCA (cfr. in particolare, per tutte, STCA del 23 maggio 2003, inc. 30.2002.115-116). Per cui, sarebbe stato sufficiente all'amministrazione esaminare la documentazione relativa alla revisione effettuata precedentemente presso la ricorrente per accertare che un assicurato aveva già esercitato la propria attività per la stessa società l'anno precedente e modificare la decisione. In queste condizioni si giustifica l'assegnazione di ripetibili, seppur ridotte. A __________ cointeressato, va notificata la presente sentenza (cfr. DTF 113 V 4 e STFA del 3 maggio 2004 nella causa D., H 318/02,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