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30.2004.167 vom 28. April 2004</w:t>
      </w:r>
    </w:p>
    <w:p>
      <w:r>
        <w:t>TI Tribunale d'appello, 2004-04-28, IT</w:t>
      </w:r>
    </w:p>
    <w:p>
      <w:r>
        <w:rPr>
          <w:b/>
        </w:rPr>
        <w:t xml:space="preserve">Quelle: </w:t>
      </w:r>
      <w:r>
        <w:t>https://mcp.opencaselaw.ch/entscheid/ti_gerichte_30.2004.167</w:t>
      </w:r>
    </w:p>
    <w:p>
      <w:r>
        <w:t>FR: TI_GERICHTE 30.2004.167 du 28 avril 2004</w:t>
      </w:r>
    </w:p>
    <w:p>
      <w:r>
        <w:t>IT: TI_GERICHTE 30.2004.167 del 28 aprile 2004</w:t>
      </w:r>
    </w:p>
    <w:p>
      <w:pPr>
        <w:pStyle w:val="Heading2"/>
      </w:pPr>
      <w:r>
        <w:t>Volltext</w:t>
      </w:r>
    </w:p>
    <w:p>
      <w:r>
        <w:t>Incarto n.30.2004.167/AMM</w:t>
      </w:r>
    </w:p>
    <w:p>
      <w:r>
        <w:t>2004-13-103</w:t>
      </w:r>
    </w:p>
    <w:p>
      <w:r>
        <w:t>Bellinzona</w:t>
      </w:r>
    </w:p>
    <w:p>
      <w:r>
        <w:t>1° settembre 2004</w:t>
      </w:r>
    </w:p>
    <w:p>
      <w:r>
        <w:t>Sentenza</w:t>
      </w:r>
    </w:p>
    <w:p>
      <w:r>
        <w:t>In nomedella Repubblica e Cantonedel Ticino</w:t>
      </w:r>
    </w:p>
    <w:p>
      <w:r>
        <w:t>Il Giudice della Pretura penale</w:t>
      </w:r>
    </w:p>
    <w:p>
      <w:r>
        <w:t>Marco Ambrosini</w:t>
      </w:r>
    </w:p>
    <w:p>
      <w:r>
        <w:t>sedente con _________ in qualità di segretaria per statuire sul ricorso del 20 maggio 2004 presentato da</w:t>
      </w:r>
    </w:p>
    <w:p>
      <w:r>
        <w:t>__________</w:t>
      </w:r>
    </w:p>
    <w:p>
      <w:r>
        <w:t>contro</w:t>
      </w:r>
    </w:p>
    <w:p>
      <w:r>
        <w:t>la decisione n. 2004-13-103 del 28 aprile 2004 emessa dall'Ufficio giuridicod _CRTE1</w:t>
      </w:r>
    </w:p>
    <w:p>
      <w:r>
        <w:t>viste                                  le osservazioni del 7 giugno 2004 presentate dall'Ufficio giuridico della Sezione del lavoro;</w:t>
      </w:r>
    </w:p>
    <w:p>
      <w:r>
        <w:t>letti ed esaminati gli atti;</w:t>
      </w:r>
    </w:p>
    <w:p>
      <w:r>
        <w:t>ritenutoin fatto:</w:t>
      </w:r>
    </w:p>
    <w:p>
      <w:r>
        <w:t>che l'Ufficio giuridico della Sezione del lavoro,con decisione del 28 aprile 2004, ha inflitto a __________  presidente con firma individuale della _________SA di____ una multa di fr. 500., addebitandogli inoltre una tassa di giustizia di fr. 60. e le spese di fr. 20., per avere nel marzo 2004 "omesso, senza alcuna valida giustificazione, di compilare e trasmettere i formulari 'attestato di guadagno intermedio' per i mesi di dicembre 2003 e gennaio 2004 violando così i propri obblighi";</w:t>
      </w:r>
    </w:p>
    <w:p>
      <w:r>
        <w:t>che la risoluzione è stata emessa in applicazione degli art. 20 cpv. 2, 88 cpv. 1 lett. b, 106 LADI e 28 LPGA;</w:t>
      </w:r>
    </w:p>
    <w:p>
      <w:r>
        <w:t>che __________ è insorto contro tale decisione con un ricorso del 20 maggio 2004 in cui chiede in sostanza l'annullamento o una riduzione della multa;</w:t>
      </w:r>
    </w:p>
    <w:p>
      <w:r>
        <w:t>che nelle osservazioni del 7 giugno 2004 l'Ufficio giuridico della Sezione del lavoro ravvisa l'infondatezza del ricorso, pur non opponendosi a una riduzione della multa dato il successivo adempimento dell'obbligo;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l'art. 88 cpv. 1 lett. b LADI impone al datore di lavoro di compilare tempestivamente gli attestati necessari ai lavoratori per far valere i diritti alle prestazioni; egli è tenuto inoltre a dare tutte le informazioni necessarie per accertare il diritto alle prestazioni (art. 28 cpv. 3 LPGA);</w:t>
      </w:r>
    </w:p>
    <w:p>
      <w:r>
        <w:t>che chiunque viola l'obbligo d'informare o non riempie i moduli prescritti è punito con la detenzione fino a sei mesi o con la multa fino a fr. 30 000. (art. 106 cpv. 1 e 4 LADI);</w:t>
      </w:r>
    </w:p>
    <w:p>
      <w:r>
        <w:t>che l'Ufficio giuridico della Sezione del lavoro ha sanzionato l'interessato, come detto, per avere "omesso, senza alcuna valida giustificazione, di compilare e trasmettere i formulari 'attestato di guadagno intermedio' per i mesi di dicembre 2003 e gennaio 2004 violando così i propri obblighi";</w:t>
      </w:r>
    </w:p>
    <w:p>
      <w:r>
        <w:t>che il ricorrente non contesta di per sé la fattispecie ravvisata dall'autorità di primo grado, ma fa valere di non avere potuto adempiere per tempo la richiesta a causa della "mancata presentazione dei conti da parte della società fiduciaria a cui __________ SA fa riferimento dal momento della costituzione nel 2000. La fiduciaria gestiva tutte le pratiche amministrative, contabili e salariali, ma per vari motivi, soprattutto in seguito ad arretrati scoperti, non ha fornito i dati richiesti. Per ovviare a questa situazione e uscire dall'impasse in cui la _______ si trovava, abbiamo incaricato da alcune settimane un nuovo consulente amministrativo che ha provveduto a fornire all'_________ i dati richiesti";</w:t>
      </w:r>
    </w:p>
    <w:p>
      <w:r>
        <w:t>che le giustificazioni addotte dal ricorrente non lo esimevano tuttavia dall'obbligo di trasmettere tempestivamente i formulari richiesti, quand'anche incompleti, rispettivamente di informare la Cassa di disoccupazione sui motivi dell'assenza dei dati mancanti;</w:t>
      </w:r>
    </w:p>
    <w:p>
      <w:r>
        <w:t>che neppure giova all'interessato dolersi di come "l'intera responsabilità dell'amministrazione della _______ SA è assunta da mio fratello_________, mentre io mi occupo esclusivamente della produzione" (ricorso, in fine), ove solo si consideri la sua funzione di presidente con firma individuale della ditta, che gli imponeva  quanto meno  di vegliare all'adempimento degli obblighi societari (cfr. anche l'art. 6 DPA, applicabile per il rinvio di cui all'art. 107 LADI);</w:t>
      </w:r>
    </w:p>
    <w:p>
      <w:r>
        <w:t>che sotto questi aspetti il ricorso si rivela pertanto destituito di fondamento, la decisione impugnata non prestando fianco a critiche di sorta;</w:t>
      </w:r>
    </w:p>
    <w:p>
      <w:r>
        <w:t>che l'autorità di primo grado non si oppone tuttavia a una riduzione della multa in considerazione della successiva presentazione degli atti richiesti;</w:t>
      </w:r>
    </w:p>
    <w:p>
      <w:r>
        <w:t>che l'adempimento dell'obbligo, ancorché tardivo, giustifica  tutto ben ponderato  una riduzione della multa a fr. 200. e l'adeguamento della tassa di giustizia a fr. 30., le spese di fr. 20. rimanendo per converso invariate;</w:t>
      </w:r>
    </w:p>
    <w:p>
      <w:r>
        <w:t>che il ricorso va dunque accolto in tale misura e la decisione impugnata riformata di conseguenza;</w:t>
      </w:r>
    </w:p>
    <w:p>
      <w:r>
        <w:t>che l'esito del ricorso induce a rinunciare al prelievo di oneri dell'odierno giudizio;</w:t>
      </w:r>
    </w:p>
    <w:p>
      <w:r>
        <w:t>per questi motivi,</w:t>
      </w:r>
    </w:p>
    <w:p>
      <w:r>
        <w:t>visti                                   gli art. 20 cpv. 2, 88 cpv. 1 lett. b e 106 seg. LADI; 28 LPGA; 6 DPA; 1 segg. LPContr;</w:t>
      </w:r>
    </w:p>
    <w:p>
      <w:r>
        <w:t>pronuncia:1.     Il ricorso è parzialmente accolto e la decisione impugnata è riformata nel senso che a __________ è inflitta una multa di fr. 200., oltre a una tassa di giustizia di fr. 30. e alle spese di fr. 20..</w:t>
      </w:r>
    </w:p>
    <w:p>
      <w:r>
        <w:t>2.     Non si prelevano né tasse né spese dell'attuale giudizio.</w:t>
      </w:r>
    </w:p>
    <w:p>
      <w:r>
        <w:t>3.     Intimazione a:</w:t>
      </w:r>
    </w:p>
    <w:p>
      <w:r>
        <w:t>.</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