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30.2004.147 vom 3. Juni 2009</w:t>
      </w:r>
    </w:p>
    <w:p>
      <w:r>
        <w:t>TI Tribunale d'appello, 2009-06-03, IT</w:t>
      </w:r>
    </w:p>
    <w:p>
      <w:r>
        <w:rPr>
          <w:b/>
        </w:rPr>
        <w:t xml:space="preserve">Quelle: </w:t>
      </w:r>
      <w:r>
        <w:t>https://mcp.opencaselaw.ch/entscheid/ti_gerichte_30.2004.147</w:t>
      </w:r>
    </w:p>
    <w:p>
      <w:r>
        <w:t>FR: TI_GERICHTE 30.2004.147 du 3 juin 2009</w:t>
      </w:r>
    </w:p>
    <w:p>
      <w:r>
        <w:t>IT: TI_GERICHTE 30.2004.147 del 3 giugno 2009</w:t>
      </w:r>
    </w:p>
    <w:p>
      <w:pPr>
        <w:pStyle w:val="Heading2"/>
      </w:pPr>
      <w:r>
        <w:t>Erwägungen</w:t>
      </w:r>
    </w:p>
    <w:p>
      <w:r>
        <w:rPr>
          <w:b/>
        </w:rPr>
        <w:t>E. 34</w:t>
      </w:r>
    </w:p>
    <w:p>
      <w:r>
        <w:t>cpv. 3 LCS; che su questo punto il ricorso è destinato pertanto all'insuccesso; che riguardo alla segnalazione della manovra ex art. 39 cpv. 1 LCS e 28 cpv. 1 ONC, così come all'inserimento abusivo di due fari abbaglianti in violazione dell'art. 41 cpv. 4 LCS, questo giudice – raffrontando le versioni del multato e dell'agente denunciante – non dispone per converso di elementi sufficienti a dissipare ogni ragionevole dubbio in merito alle trasgressioni evocate nella decisione impugnata; che l'autorità di primo grado non può essere seguita neppure laddove rimprovera al multato di avere montato un numero di fari abbaglianti superiore a quello consentito dagli art. 109 seg. OETV; che a ragione il ricorrente sottolinea in proposito la facoltà sancita dall'art. 110 cpv. 1 lett. i OETV di montare un numero imprecisato di "luci di lavoro, nella misura in cui con il veicolo sono effettuati lavori che esigono tali luci", così come l'esito positivo del collaudo del veicolo esperito il 28 novembre 2003 dal relativo servizio della Sezione della circolazione; che la decadenza delle trasgressioni agli art. 29, 39 cpv. 1, 41 cpv. 4 LCS; 28 cpv. 1 ONC; 109 seg., 219 cpv. 1 e 2 OETV giustifica – tutto ben ponderato – di ridurre la sanzione pecuniaria a fr. 200.–, di adeguare gli oneri di primo grado e di soprassedere al prelievo di tasse e spese dell'odierno giudizio; che il ricorso va pertanto accolto in tale misura e la decisione impugnata riformata di conseguenza; per questi motivi,                visti gli art. 29, 34 cpv. 3, 39 cpv. 1, 41 cpv. 4 e 90 n. 1 LCS; 28 cpv. 1 ONC; 109 seg., 219 cpv. 1 e 2 OETV; 1 segg. LPContr; pronuncia: 1.     Il ricorso è parzialmente accolto e la decisione impugnata è riformata nel senso che a _________ è inflitta una multa di fr. 200.–, oltre a una tassa di giustizia di fr. 40.– e alle spese di fr. 20.–. 2.     Non si prelevano né tasse né spese dell'attuale sentenza. 3.     Intimazione a: . Il giudice:                                                                                 La segretaria: Avvertenza: contro il presente giudizio può essere interposto ricorso per cassazione alla Corte di cassazione del Tribunale federale di Losanna. Il ricorso deve essere depositato presso il Tribunale federale conformemente all'art. 273 PP entro 30 giorni dalla notifica (art. 272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