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30.2003.70 vom 23. Mai 2003</w:t>
      </w:r>
    </w:p>
    <w:p>
      <w:r>
        <w:t>TI Tribunale d'appello, 2003-05-23, IT</w:t>
      </w:r>
    </w:p>
    <w:p>
      <w:r>
        <w:rPr>
          <w:b/>
        </w:rPr>
        <w:t xml:space="preserve">Quelle: </w:t>
      </w:r>
      <w:r>
        <w:t>https://mcp.opencaselaw.ch/entscheid/ti_gerichte_30.2003.70</w:t>
      </w:r>
    </w:p>
    <w:p>
      <w:r>
        <w:t>FR: TI_GERICHTE 30.2003.70 du 23 mai 2003</w:t>
      </w:r>
    </w:p>
    <w:p>
      <w:r>
        <w:t>IT: TI_GERICHTE 30.2003.70 del 23 maggio 2003</w:t>
      </w:r>
    </w:p>
    <w:p>
      <w:pPr>
        <w:pStyle w:val="Heading2"/>
      </w:pPr>
      <w:r>
        <w:t>Volltext</w:t>
      </w:r>
    </w:p>
    <w:p>
      <w:r>
        <w:t>Incarto n.30.2003.70/pg</w:t>
      </w:r>
    </w:p>
    <w:p>
      <w:r>
        <w:t>5068/008</w:t>
      </w:r>
    </w:p>
    <w:p>
      <w:r>
        <w:t>Bellinzona</w:t>
      </w:r>
    </w:p>
    <w:p>
      <w:r>
        <w:t>23 maggio 2003</w:t>
      </w:r>
    </w:p>
    <w:p>
      <w:r>
        <w:t>Stralcio</w:t>
      </w:r>
    </w:p>
    <w:p>
      <w:r>
        <w:t>In nomedella Repubblica e Cantonedel Ticino</w:t>
      </w:r>
    </w:p>
    <w:p>
      <w:r>
        <w:t>Il Presidente della Pretura penale</w:t>
      </w:r>
    </w:p>
    <w:p>
      <w:r>
        <w:t>Marco Kraushaar</w:t>
      </w:r>
    </w:p>
    <w:p>
      <w:r>
        <w:t>sedente con il cancelliere Giovanni Pozzi per statuire sul ricorso 11 febbraio 2003 presentato da</w:t>
      </w:r>
    </w:p>
    <w:p>
      <w:r>
        <w:t>__________ __________,__________,</w:t>
      </w:r>
    </w:p>
    <w:p>
      <w:r>
        <w:t>contro</w:t>
      </w:r>
    </w:p>
    <w:p>
      <w:r>
        <w:t>la decisione 31 gennaio 2003 emessa dalla Sezione della circolazione, __________,</w:t>
      </w:r>
    </w:p>
    <w:p>
      <w:r>
        <w:t>letti ed esaminati gli atti</w:t>
      </w:r>
    </w:p>
    <w:p>
      <w:r>
        <w:t>ritenuto,                             in fatto ed in diritto</w:t>
      </w:r>
    </w:p>
    <w:p>
      <w:r>
        <w:t>A.L'11 febbraio 2003 la __________ SA ha inoltrato ricorso contro la decisione 31 gennaio 2003 con cui la Sezione della circolazione ha inflitto a __________ __________ una multa di fr. 200.- oltre che fr. 40.- di tassa di giustizia e fr. 20.- di spese per aver circolato con l'autocarro __________ __________ trasportando un carico non convenientemente assicurato con l'apposito telone.</w:t>
      </w:r>
    </w:p>
    <w:p>
      <w:r>
        <w:t>B.In data 20 febbraio 2003 questa autorità ha scritto al destinatario della contravvenzione di trasmettere, entro il termine perentorio di 10 giorni, la procura mediante la quale conferiva mandato alla __________ SA di rappresentarlo; dal momento che il termine in questione è scaduto infruttuosamente il ricorso deve essere dichiarato irricevibile.</w:t>
      </w:r>
    </w:p>
    <w:p>
      <w:r>
        <w:t>C.Visto l'esito del gravame non si può prescindere dall'applicazione di una modica tassa di giustizia (art. 15 LPContr)</w:t>
      </w:r>
    </w:p>
    <w:p>
      <w:r>
        <w:t>Per questi motivi, visti gli art. 1 e seg. LPContr,</w:t>
      </w:r>
    </w:p>
    <w:p>
      <w:r>
        <w:t>decreta:                    1.Il ricorso 11 febbraio 2003 inoltrato da __________ __________,__________a,è irricevibile.</w:t>
      </w:r>
    </w:p>
    <w:p>
      <w:r>
        <w:t>2.La tassa di giustizia e le spese per complessivi fr. 50.- sono a carico di __________ __________.</w:t>
      </w:r>
    </w:p>
    <w:p>
      <w:r>
        <w:t>3.Intimazione a:</w:t>
      </w:r>
    </w:p>
    <w:p>
      <w:r>
        <w:t>Sezione della circolazione, __________,</w:t>
      </w:r>
    </w:p>
    <w:p>
      <w:r>
        <w:t>__________ __________, __________,</w:t>
      </w:r>
    </w:p>
    <w:p>
      <w:r>
        <w:t>Il presidente:                                                                Il cancelliere:</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