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30.2003.44 vom 2. Mai 2003</w:t>
      </w:r>
    </w:p>
    <w:p>
      <w:r>
        <w:t>TI Tribunale d'appello, 2003-05-02, IT</w:t>
      </w:r>
    </w:p>
    <w:p>
      <w:r>
        <w:rPr>
          <w:b/>
        </w:rPr>
        <w:t xml:space="preserve">Quelle: </w:t>
      </w:r>
      <w:r>
        <w:t>https://mcp.opencaselaw.ch/entscheid/ti_gerichte_30.2003.44</w:t>
      </w:r>
    </w:p>
    <w:p>
      <w:r>
        <w:t>FR: TI_GERICHTE 30.2003.44 du 2 mai 2003</w:t>
      </w:r>
    </w:p>
    <w:p>
      <w:r>
        <w:t>IT: TI_GERICHTE 30.2003.44 del 2 maggio 2003</w:t>
      </w:r>
    </w:p>
    <w:p>
      <w:pPr>
        <w:pStyle w:val="Heading2"/>
      </w:pPr>
      <w:r>
        <w:t>Erwägungen</w:t>
      </w:r>
    </w:p>
    <w:p>
      <w:r>
        <w:rPr>
          <w:b/>
        </w:rPr>
        <w:t>E. 2</w:t>
      </w:r>
    </w:p>
    <w:p>
      <w:r>
        <w:t>L'infrazione verificatasi in territorio di _________ il 19 settembre 2002 non è stata contestata e di conseguenza ci si limita all'eccezione sollevata dal ricorrente in merito all'intimazione della contravvenzione.</w:t>
      </w:r>
    </w:p>
    <w:p>
      <w:r>
        <w:rPr>
          <w:b/>
        </w:rPr>
        <w:t>E. 3</w:t>
      </w:r>
    </w:p>
    <w:p>
      <w:r>
        <w:t>La risoluzione del 24 gennaio 2003, così come in precedenza la multa del 20 settembre 2002, sono state intimate correttamente all'indirizzo dato dallo stesso ricorrente all'agente di polizia il giorno dell'infrazione; considerato che l'insorgente risulta domiciliato ancora a _________ si deve giungere alla conclusione che le raccomandate, peraltro ritirate dal destinatario, sono state notificate rettamente.</w:t>
      </w:r>
    </w:p>
    <w:p>
      <w:r>
        <w:rPr>
          <w:b/>
        </w:rPr>
        <w:t>E. 4</w:t>
      </w:r>
    </w:p>
    <w:p>
      <w:r>
        <w:t>Indipendentemente dalle considerazioni espresse, onde evitare al ricorrente di dover sopportare un inutile aggravio di tasse e spese, in data 2 aprile 2003 questo giudice ha inviato uno scritto all'indirizzo indicato dall'insorgente - il quale si era a più riprese impegnato a pagare la contravvenzione nel caso gli fosse stata recapitata a _________ -  con l'invito a ritirare il gravame; tale assegnazione di termine mediante raccomandata, peraltro ritirata dal _________, è decorso infruttuosamente, per cui si rende necessaria la presente sentenza.</w:t>
      </w:r>
    </w:p>
    <w:p>
      <w:r>
        <w:rPr>
          <w:b/>
        </w:rPr>
        <w:t>E. 5</w:t>
      </w:r>
    </w:p>
    <w:p>
      <w:r>
        <w:t>Il ricorso va pertanto respinto, seguito di tassa di giustizia e spese (art. 15 LPContr). Per questi motivi,                visti gli art 3, 27 cpv. 1 e 90 cifra 1 LCStr e 18 cpv. 1 OSS, 1 segg. LPContr; dichiara e pronuncia:                1. Il ricorso 3 febbraio 2003 è respinto. Di conseguenza è confermata la decisione 24 gennaio 2003 dalla Sezione della circolazione, __________, 2. La tassa di giustizia di fr.100.- e le spese di fr. 30.-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Sezione della circolazione, __________, _________ _________, _________,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