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30.2003.408 vom 8. April 2004</w:t>
      </w:r>
    </w:p>
    <w:p>
      <w:r>
        <w:t>TI Tribunale d'appello, 2004-04-08, IT</w:t>
      </w:r>
    </w:p>
    <w:p>
      <w:r>
        <w:rPr>
          <w:b/>
        </w:rPr>
        <w:t xml:space="preserve">Quelle: </w:t>
      </w:r>
      <w:r>
        <w:t>https://mcp.opencaselaw.ch/entscheid/ti_gerichte_30.2003.408</w:t>
      </w:r>
    </w:p>
    <w:p>
      <w:r>
        <w:t>FR: TI_GERICHTE 30.2003.408 du 8 avril 2004</w:t>
      </w:r>
    </w:p>
    <w:p>
      <w:r>
        <w:t>IT: TI_GERICHTE 30.2003.408 del 8 aprile 2004</w:t>
      </w:r>
    </w:p>
    <w:p>
      <w:pPr>
        <w:pStyle w:val="Heading2"/>
      </w:pPr>
      <w:r>
        <w:t>Erwägungen</w:t>
      </w:r>
    </w:p>
    <w:p>
      <w:r>
        <w:rPr>
          <w:b/>
        </w:rPr>
        <w:t>E. 2</w:t>
      </w:r>
    </w:p>
    <w:p>
      <w:r>
        <w:t>La tassa di giudizio di fr. 100.-- e le spese di fr. 50.-- sono a carico della ricorrente.</w:t>
      </w:r>
    </w:p>
    <w:p>
      <w:r>
        <w:rPr>
          <w:b/>
        </w:rPr>
        <w:t>E. 3</w:t>
      </w:r>
    </w:p>
    <w:p>
      <w:r>
        <w:t>Contro la presente sentenza può essere interposto ricorso per cassazione alla Corte di cassazione del Tribunale federale di Losanna. Il ricorso deve essere depositato presso il Tribunale federale conformemente all'art. 273 PP entro 30 giorni dalla notifica della sentenza (art. 272 PP).</w:t>
      </w:r>
    </w:p>
    <w:p>
      <w:r>
        <w:rPr>
          <w:b/>
        </w:rPr>
        <w:t>E. 4</w:t>
      </w:r>
    </w:p>
    <w:p>
      <w:r>
        <w:t>Intimazione a: Sezione della circolazione, _________, _________ _________, _________. Il giudice: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