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30.2003.399 vom 23. April 2004</w:t>
      </w:r>
    </w:p>
    <w:p>
      <w:r>
        <w:t>TI Tribunale d'appello, 2004-04-23, IT</w:t>
      </w:r>
    </w:p>
    <w:p>
      <w:r>
        <w:rPr>
          <w:b/>
        </w:rPr>
        <w:t xml:space="preserve">Quelle: </w:t>
      </w:r>
      <w:r>
        <w:t>https://mcp.opencaselaw.ch/entscheid/ti_gerichte_30.2003.399</w:t>
      </w:r>
    </w:p>
    <w:p>
      <w:r>
        <w:t>FR: TI_GERICHTE 30.2003.399 du 23 avril 2004</w:t>
      </w:r>
    </w:p>
    <w:p>
      <w:r>
        <w:t>IT: TI_GERICHTE 30.2003.399 del 23 aprile 2004</w:t>
      </w:r>
    </w:p>
    <w:p>
      <w:pPr>
        <w:pStyle w:val="Heading2"/>
      </w:pPr>
      <w:r>
        <w:t>Erwägungen</w:t>
      </w:r>
    </w:p>
    <w:p>
      <w:r>
        <w:rPr>
          <w:b/>
        </w:rPr>
        <w:t>E. 8</w:t>
      </w:r>
    </w:p>
    <w:p>
      <w:r>
        <w:t>In buona sostanza, gli atti contengono, sì, le due precitate (e divergenti) versioni dei fatti fornite dai protagonisti motorizzati, ma includono pure la testimonianza di _________ _________ , il quale, procedendo ad una constatazione di agevole momento, ha potuto dichiarare nel suo verbale d’interrogatorio fronte alle forze inquirenti del 9 giugno 2003 quanto segue: “ … Sceso dal veicolo, volgendo lo sguardo su via _________ , all’altezza dell’intersezione, notavo la vettura _________ di colore blu con esposto l’indicatore di direzione sinistro che si trovava in posizione di svolta per accedere al parcheggio principale dell’EP citato (sulla sinistra rispetto alla direzione di marcia _________ ). All’altezza della fiancata sinistra, notavo pure a terra un motoveicolo. Subito mi dirigevo in quel punto e capivo che era successo un incidente. Sono sicuro di aver visto l’indicatore di direzione sinistro della vettura acceso, infatti, poiché il conducente era spaventato, provvedevo io ad esporre le quattro frecce ed il segnale di veicolo fermo. Ho quindi potuto notare chiaramente che la freccia era ancora esposta ”.</w:t>
      </w:r>
    </w:p>
    <w:p>
      <w:r>
        <w:rPr>
          <w:b/>
        </w:rPr>
        <w:t>E. 9</w:t>
      </w:r>
    </w:p>
    <w:p>
      <w:r>
        <w:t>Dalle chiare (oggettive ed imparziali) dichiarazioni del teste _________ (il quale, a differenza del ricorrente, non ha alcun interesse, sino a dimostrazione - non avvenuta - del contrario, a dichiarare fatti non corrispondenti alla realtà con il rischio, tra l’altro, di incorrere in importanti sanzioni penali), questo Giudice perviene senz’altro all’intimo convincimento che il conducente della vettura _________  che precedeva il ricorrente, avesse correttamente inserito l’indicatore direzionale sinistro, manifestando così espressamente la propria volontà di svoltare in tal guisa. Altrettanto accertato il fatto secondo cui, al momento dell’impatto da tergo, l’automobilista avesse comunque già da tempo iniziato la propria manovra di svolta a sinistra (“ notavo la vettura _________ di colore blu con esposto l’indicatore di direzione sinistro che si trovava in posizione di svolta per accedere al parcheggio principale dell’EP citato,sulla sinistra rispetto alla direzione di marcia dell’Audi” , cfr, teste _________ ).</w:t>
      </w:r>
    </w:p>
    <w:p>
      <w:r>
        <w:rPr>
          <w:b/>
        </w:rPr>
        <w:t>E. 10</w:t>
      </w:r>
    </w:p>
    <w:p>
      <w:r>
        <w:t>Malgrado quanto precede (ed indipendentemente dalla questione a sapere circa la tempestività o meno della manovra di svolta dell’automobilista, che, come si vedrà meglio in seguito, non può in alcun caso influenzare il giudizio che qui ci occupa), appare comunque altresì evidente che _________ _________ non abbia controllato rigorosamente il traffico da tergo prima di effettuare completamente la manovra di svolta. Questi non si è infatti inspiegabilmente accorto della presenza del centauro, malgrado il fatto che quest’ultimo si trovasse proprio nelle sue immediate vicinanze, così come dimostra la striscia di frenata lasciata sulla strada dal ricorrente, lunga soli 10 metri lineari. La presenza del centauro poteva e doveva dunque concretamente essere senz’altro accertata dall’automobilista (tanto più se si considera che il tratto stradale in questione é un rettilineo, e, dunque, più facilmente controllabile), se solo questi avesse adoperato la necessaria ed opportuna attenzione e prudenza in merito. Ora, stante quanto precede, ben si potrebbe ammettere che l’automobilista si sia reso colpevole di una violazione dell’obbligo impostogli in base all’art. 34 cpv. 3 LCS poiché non ha badato ai veicoli che sopraggiungevano da tergo, ciò che gli avrebbe fors’anche verosimilmente permesso di evitare il sinistro adottando segnatamente una manovra più appropriata. La precitata disposizione di legge prevede infatti che il conducente intenzionato a cambiare la direzione di marcia, ad esempio per voltare, sorpassare, mettersi in preselezione, passare da una corsia a un’altra, deve badare ai veicoli che giungono in senso inverso e a quelli che seguono. La segnalazione con l’indicatore di direzione non svincola il conducente dall’obbligo di usare la necessaria prudenza (art. 39 cpv. 2 LCStr). Secondo dottrina e giurisprudenza l’obbligo di badare ai veicoli che seguono deve essere inteso nel senso di “non metterli in pericolo”, specie quando questi sono in fase di sorpasso (sentenza _________ del _________ 2003, consid. 3.2.1; BUSSY/RUSCONI , Code suisse de la circulation routière, Losanna 1996, n. 3.1. e 3.2. ad art. 34 LCStr, con rispettivi rinvii). Le precauzioni che il conducente deve prendere al fine di evitare pericoli agli utenti che lo seguono, sono determinate dalle circostanze particolari; in effetti ogni modifica della direzione di marcia crea un pericolo supplementare per cui si impone una prudenza accresciuta. Ciò che, manifestamente, _________ _________ ha omesso non accorgendosi minimamente del sopraggiungere del motociclo!</w:t>
      </w:r>
    </w:p>
    <w:p>
      <w:r>
        <w:rPr>
          <w:b/>
        </w:rPr>
        <w:t>E. 11</w:t>
      </w:r>
    </w:p>
    <w:p>
      <w:r>
        <w:t>Ma, vi è un ma. Una constatazione, su tutte, appare in effetti chiara e contrasta sotto tutti i punti di vista con le tesi addotte dal ricorrente, inchiodandolo, anzi, fronte alle proprie responsabilità: dagli atti di causa emerge infatti con sufficiente chiarezza come _________ _________ non abbia osservato la distanza di sicurezza dal veicolo che lo precedeva, e questo poiché, anche volendo prendere per buona la tesi di una repentina svolta a sinistra del _________ ed una sua pedissequa repentina ed intempestiva accensione dell’indicatore direzionale sinistro, la frenata del centauro, così come indicata nel relativo croquis di polizia, risulta essere di soli 10 metri, per il che non vi è chi non veda (per lo stesso ragionamento di cui sopra), che la distanza esistente tra i due protagonisti dell’incidente precedentemente all’impatto ed alla relativa manovra d’arresto del ricorrente non potesse certo considerarsi adeguata. Quanto precede è, a maggior ragione, ancor più grave se solo si pon mente al fatto che, come si evince dal precitato rapporto di segnalazione di Polizia, l’omissione delle distanze di sicurezza per parte del ricorrente si sia verificata di notte, in tratto stradale solo parzialmente illuminato artificialmente e in prossimità dell’accesso ad un noto e frequentato locale per il quale, non a caso, era stata prevista una corsia di preselezione. Proprio l’omissione del mantenimento di una giusta distanza di sicurezza non può dunque fare propendere, come altrimenti vorrebbe il ricorrente, per la tesi dell’ostacolo inatteso ed imprevedibile (ad escludere così l’illiceità del suo agire) perché se anche manifesta intempestività (recte: tardività) nella manovra di svolta del _________ ci fosse stata, questa non potrebbe considerarsi un ostacolo imprevedibile a’sensi della nota dottrina e giurisprudenza in materia: se solo, infatti, _________ _________ avesse mantenuto una corretta distanza di sicurezza, il veicolo del _________ non avrebbe minimamente rappresentato un ostacolo permettendo al centauro di frenare tempestivamente fronte alla manovra della vettura antistante così come auspicato e prescritto, fra l’altro, all’art. 12 cpv. 1 ONC, e senza mettere in periglio la propria incolumità fisica o quella di terze persone. Tutto ciò sottomura la tesi della non ineluttabilità della collisione, se solo tutte le norme della circolazione fossero  state rispettate da entrambi i protagonisti dell’incidente che avrebbero così evitato le loro rispettive concolpe concomitanti!</w:t>
      </w:r>
    </w:p>
    <w:p>
      <w:r>
        <w:rPr>
          <w:b/>
        </w:rPr>
        <w:t>E. 12</w:t>
      </w:r>
    </w:p>
    <w:p>
      <w:r>
        <w:t>Orbene, nella misura in cui il ricorrente rimprovera al coprotagonista di essere il solo responsabile dell’incidente, giova del resto ricordare, che in materia penale ognuno risponde delle proprie azioni od omissioni. Il comportamento antigiuridico altrui non discrimina né attenua la responsabilità per una violazione di prescrizioni imputabile a propria colpa. Non esiste infatti in questo ambito compensazione delle colpe (sentenza _________ del _________ 1991, consid. 1c). Il ricorrente confonde in tal senso argomentazioni che avrebbero semmai rilevanza in ambito giusprivatistico ovvero la ripartizione della responsabilità per il pregiudizio cagionato dal sinistro, questione da sollevare eventualmente in altra sede giurisdizionale, qualora dovesse insorgere una controversia civile in merito.</w:t>
      </w:r>
    </w:p>
    <w:p>
      <w:r>
        <w:rPr>
          <w:b/>
        </w:rPr>
        <w:t>E. 13</w:t>
      </w:r>
    </w:p>
    <w:p>
      <w:r>
        <w:t>Il ricorrente non ha dunque rispettato le distanze di sicurezza dal veicolo che lo precedeva, collidendo conseguentemente, da tergo, con lo stesso. Questa condotta configura pacificamente una violazione degli obblighi prescritti agli artt. 34 cpv. 4 LCS, 4 e 12 cpv. 1 ONC, per cui va sanzionata, già per sé stessa, quale contravvenzione alle norme della circolazione giusta l’art. 90 cfr. 1 LCS. Il principio dell’affidamento, così come sollevato dal ricorrente, non può né deve avere in questo ambito nessuna rilevanza. Esso viene del resto invocato dal ricorrente quasi come se fosse una discriminante generica, tale da escludere l’antigiuridicità obiettiva del fatto. Al contrario si tratta di un principio dedotto dall’art. 26 cpv. 1 LCStr, il quale prescrive che ciascuno, nella circolazione, deve comportarsi in modo tale da non essere di ostacolo né di pericolo per coloro che usano la strada conformemente alle norme stabilite. Da questa norma fondamentale della circolazione viene tratto il principio  secondo il quale ogni utente della strada che si comporta in maniera corretta può a sua volta confidare nel comportamento corretto degli altri utenti, nella misura in cui non vi siano indizi per ritenere il contrario (DTF 125 IV 83 consid. 2b; 124 IV 81 consid. 2b pag. 84 e rispettivi rinvii). Ma questo principio non può in alcun modo venire interpretato come autorizzazione a violare le norme della circolazione stradale per motivo che l’altro conducente ha tenuto un comportamento imprevedibile e altamente scorretto. La tesi sostenuta dal ricorrente è in questo senso priva di qualsiasi fondamento ed anzi molto pericolosa dal profilo della sicurezza stradale. Nel complesso egli cerca di applicare principi che non hanno nessuna pertinenza con la tipologia di infrazione qui in esame, ma che semmai avrebbero rilevanza se fosse in discussione un reato per negligenza, come ad esempio quello di lesioni colpose, la cui architettura dogmatica sarebbe comunque di tutt’altro tipo (v. DTF 125 IV 189 consid. 3; 121 IV 207 consid. 2a pag. 213, TRECHSEL/NOLL Schweizerisches Strafrecht, Allgemeiner Teil I., 5a ed., Zurigo 1998, pag. 270).</w:t>
      </w:r>
    </w:p>
    <w:p>
      <w:r>
        <w:rPr>
          <w:b/>
        </w:rPr>
        <w:t>E. 14</w:t>
      </w:r>
    </w:p>
    <w:p>
      <w:r>
        <w:t>Riassumendo, lo scrivente Giudice accerta, al di là di qualsiasi ragionevole dubbio, che _________ _________, circolando senza prestare la dovuta attenzione alla circolazione e senza mantenere la distanza sufficiente dall’autoveicolo che lo precedeva, collideva con quest’ultimo, urtandolo da tergo alla parte posteriore e alla fiancata sinistra, la dinamica di quanto accaduto non permettendo comunque di richiamare una eventuale paventata concolpa concomitante di terzi, non essendo ammessa, in campo penale, la compensazione delle colpe (DTF 85 IV 91; 105 IV 216), né potendosi in alcun modo, per quanto detto sopra, concretamente relazionarsi a fattori esterni imprevedibili (e non gestibili) per il ricorrente. Tale accertamento, segnatamente l’illiceità dell’accaduto e la conseguente responsabilità oggettiva e soggettiva di _________ _________, poggia sui predetti inequivocabili indizi di cui sopra, senz’altro sufficientemente precisi e tali da consentire una deduzione logica e rigorosa circa le effettive responsabilità del ricorrente.</w:t>
      </w:r>
    </w:p>
    <w:p>
      <w:r>
        <w:rPr>
          <w:b/>
        </w:rPr>
        <w:t>E. 15</w:t>
      </w:r>
    </w:p>
    <w:p>
      <w:r>
        <w:t>G iusta l’art. 90 cfr. 1 LCS, chiunque contravviene alle norme della circolazione contenute nella presente Legge o nelle prescrizioni di esecuzione del Consiglio Federale, è punito con l’arresto o con la multa. Per la commisurazione di quest’ultima, il Giudice, in virtù del surriferito richiamo di cui all’art. 102 cpv. 1 LCS, applica i medesimi principi dottrinali e giurisprudenziali a fondamento dell’art. 63 CPS. Stante quanto precede, lo scrivente Giudice, tenendo conto di tutte le circostanze del caso, ed in particolare della pericolosità della manovra in questione e della crassa disattenzione del ricorrente alla base della stessa, ritiene peraltro equo l’importo di Fr. 400.- (quattrocento) inflitto a titolo di multa ad _________ _________ , confacentemente proporzionato alla gravità dell’infrazione commessa, rettamente commisurato al grado di colpa e contenuto nei limiti concessi dalla Legge. Per il che, il ricorso 9 dicembre 2003 deve essere respinto come ai considerandi che precedono con pedissequo accollo, in applicazione del principio generale della soccombenza, di tasse e spese di giustizia di questa sede (art. 15 LPContr). per questi motivi,                richiamati gli art. artt. 31 cpv. 1, 32 cpv. 1, 34 cpv. 4, 35 cpv. 5, 90 cfr. 1 LCS, artt. 3 cpv. 1, 4 cpv.1 ONC, artt.  1 segg. LPContr; dichiara e pronuncia:                1. Il ricorso 9 dicembre 2003 è respinto. § Di conseguenza la risoluzione no. _________ /_________ /_________ del _________ 2003 della Sezione della Circolazione, Ufficio giuridico, _________, è integralmente confermata . 2. La tassa di giustizia in Fr. 150.- (centocinquanta) e le spese per complessivi Fr. 100.- (cento)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della sentenza (art. 272 PP). 4. Intimazione: - Sezione della circolazione, _________, - Avv. _________ _________, _________, Il Giudice:                                                                              Il Segretario assessore: Claudio Rotanzi                                                                     Michele Maggi</w:t>
      </w:r>
    </w:p>
    <w:p>
      <w:r>
        <w:rPr>
          <w:b/>
        </w:rPr>
        <w:t>E. 32</w:t>
      </w:r>
    </w:p>
    <w:p>
      <w:r>
        <w:t>cpv. 1, 34 cpv. 4, 35 cpv. 5, 90 cfr. 1 LCS, artt. 3 cpv. 1, 4 cpv.1 ONC, artt.  1 segg. LPContr;</w:t>
      </w:r>
    </w:p>
    <w:p>
      <w:r>
        <w:t>dichiara e</w:t>
      </w:r>
    </w:p>
    <w:p>
      <w:r>
        <w:t>pronuncia:                1.Il ricorso 9 dicembre 2003è respinto.</w:t>
      </w:r>
    </w:p>
    <w:p>
      <w:r>
        <w:t>§Di conseguenza la risoluzione no. _________ /_________ /_________ del _________ 2003 della Sezione della Circolazione, Ufficio giuridico, _________,è integralmente confermata.</w:t>
      </w:r>
    </w:p>
    <w:p>
      <w:r>
        <w:t>2.La tassa di giustizia in Fr. 150.- (centocinquanta) e le spese per complessivi Fr. 100.- (cento) sono a caricodelricorrente.</w:t>
      </w:r>
    </w:p>
    <w:p>
      <w:r>
        <w:t>3.Contro la presente sentenza può essere interposto ricorso per cassazione alla Corte di cassazione del Tribunale federale di Losanna. Il ricorso deve essere depositato presso il Tribunale federale conformemente all'art. 273 PP entro30 giornidalla notifica della sentenza (art. 272 PP).</w:t>
      </w:r>
    </w:p>
    <w:p>
      <w:r>
        <w:t>4.Intimazione:</w:t>
      </w:r>
    </w:p>
    <w:p>
      <w:r>
        <w:t>- Sezione della circolazione,_________,</w:t>
      </w:r>
    </w:p>
    <w:p>
      <w:r>
        <w:t>- Avv.__________________,_________,</w:t>
      </w:r>
    </w:p>
    <w:p>
      <w:r>
        <w:t>Il Giudice:                                                                              Il Segretario assessore:</w:t>
      </w:r>
    </w:p>
    <w:p>
      <w:r>
        <w:t>Claudio Rotanzi                                                                     Michele Maggi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