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30.2003.398 vom 28. November 2003</w:t>
      </w:r>
    </w:p>
    <w:p>
      <w:r>
        <w:t>TI Tribunale d'appello, 2003-11-28, IT</w:t>
      </w:r>
    </w:p>
    <w:p>
      <w:r>
        <w:rPr>
          <w:b/>
        </w:rPr>
        <w:t xml:space="preserve">Quelle: </w:t>
      </w:r>
      <w:r>
        <w:t>https://mcp.opencaselaw.ch/entscheid/ti_gerichte_30.2003.398</w:t>
      </w:r>
    </w:p>
    <w:p>
      <w:r>
        <w:t>FR: TI_GERICHTE 30.2003.398 du 28 novembre 2003</w:t>
      </w:r>
    </w:p>
    <w:p>
      <w:r>
        <w:t>IT: TI_GERICHTE 30.2003.398 del 28 novembre 2003</w:t>
      </w:r>
    </w:p>
    <w:p>
      <w:pPr>
        <w:pStyle w:val="Heading2"/>
      </w:pPr>
      <w:r>
        <w:t>Erwägungen</w:t>
      </w:r>
    </w:p>
    <w:p>
      <w:r>
        <w:rPr>
          <w:b/>
        </w:rPr>
        <w:t>E. 34</w:t>
      </w:r>
    </w:p>
    <w:p>
      <w:r>
        <w:t>cpv. 3 LCS di "badare ai veicoli che … seguono", così come dal dovere di tenersi sul margine destro della carreggiata (art. 36 cpv. 1 LCS) o – se obbligata a spostarsi a sinistra – di "usare speciale prudenza e, se necessario, fermarsi" (art. 13 cpv. 5 ONC); che il Tribunale federale ha invero posto il principio secondo cui il conducente intenzionato a svoltare a sinistra che si è posto correttamente verso l'asse della carreggiata e ha azionato l'indicatore di direzione può di regola presumere – senza essere tenuto a prestare nuovamente attenzione nel momento in cui volta al traffico che lo segue – che nessun utente della strada lo sorpasserà illecitamente sulla sinistra (DTF 125 IV 83); che ciò non esime tuttavia il conducente, con ogni evidenza, dall'obbligo di badare al traffico retrostante prima di porsi al centro della carreggiata e azionare l'indicatore di direzione (cfr. anche DTF 125 IV 89 consid. 2d in alto); che non v'è motivo per discostarsi da siffatti principi nel caso di una svolta a destra, il conducente avendo in tale evenienza l'obbligo di badare al traffico retrostante prima di cominciare la relativa manovra e di azionare l'indicatore di direzione; che l'insorgente, in concreto, non pretende avere osservato tale regola, limitandosi a sottolineare di avere regolarmente segnalato la svolta con l'indicatore di direzione (ricorso, pag. 2, punti 2 e 4; osservazioni del 29 ottobre 2003, pag. 1 verso il basso; cfr. anche verbale d'interrogatorio del 22 settembre 2003, pag. 1 verso il basso: " poco prima del ristorante _________ , emettevo l'indicatore di direzione destro , per entrare in un parcheggio del ristorante sopraccitato. Raggiunto i parcheggi, iniziavo la svolta a destra, per immettermi in uno di essi. A manovra quasi ultimata, venivo urtata alla fiancata posteriore destra , da una vettura che mi seguiva "); che se avesse prestato la debita attenzione al traffico retrostante, l'insorgente avrebbe senz'altro potuto scorgere il veicolo che si accingeva a superarla sulla destra, desistere dalla manovra di svolta ed evitare – in ultima analisi – la collisione; che in simili circostanze, considerata segnatamente la dinamica del sinistro descritta dai protagonisti e dalla testimone davanti alla polizia cantonale, questo giudice perviene al convincimento che l'insorgente abbia effettivamente commesso le infrazioni rimproveratele dalla Sezione della circolazione; che ciò vale a prescindere dall'eventuale colpa ascrivibile all'altra conducente, dalla questione di sapere se la multata abbia invaso o no la corsia opposta, così come dal fatto che la ricorrente fosse intenzionata a svoltare in un parcheggio anziché in una strada laterale come erroneamente descritto nel querelato giudizio; che la multa inflitta, per finire, è proporzionata alla gravità dell'infrazione commessa, rettamente commisurata al grado di colpa e contenuta nei limiti concessi dalla legge; che il ricorso deve pertanto essere respinto, seguito da tassa di giustizia e spese (art. 15 LPContr); per questi motivi,                visti gli art. 34 cpv. 3, 36 cpv. 1 e 90 n. 1 LCS; 13 cpv. 5 ONC; 1 segg. LPContr; pronuncia: 1.     Il ricorso è respinto e la decisione impugnata è confermata. 2.     La tassa di giustizia di fr. 150.– e le spese di fr. 50.– sono a carico della ricorrente. 3.     Intimazione a: – _________ _________, _________, – avv. _________ _________, _________, – Sezione della circolazione, _________.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