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30.2003.338 vom 27. Januar 2004</w:t>
      </w:r>
    </w:p>
    <w:p>
      <w:r>
        <w:t>TI Tribunale d'appello, 2004-01-27, IT</w:t>
      </w:r>
    </w:p>
    <w:p>
      <w:r>
        <w:rPr>
          <w:b/>
        </w:rPr>
        <w:t xml:space="preserve">Quelle: </w:t>
      </w:r>
      <w:r>
        <w:t>https://mcp.opencaselaw.ch/entscheid/ti_gerichte_30.2003.338</w:t>
      </w:r>
    </w:p>
    <w:p>
      <w:r>
        <w:t>FR: TI_GERICHTE 30.2003.338 du 27 janvier 2004</w:t>
      </w:r>
    </w:p>
    <w:p>
      <w:r>
        <w:t>IT: TI_GERICHTE 30.2003.338 del 27 gennaio 2004</w:t>
      </w:r>
    </w:p>
    <w:p>
      <w:pPr>
        <w:pStyle w:val="Heading2"/>
      </w:pPr>
      <w:r>
        <w:t>Volltext</w:t>
      </w:r>
    </w:p>
    <w:p>
      <w:r>
        <w:t>Incarto n.30.2003.338/AMM</w:t>
      </w:r>
    </w:p>
    <w:p>
      <w:r>
        <w:t>28928/007</w:t>
      </w:r>
    </w:p>
    <w:p>
      <w:r>
        <w:t>Bellinzona</w:t>
      </w:r>
    </w:p>
    <w:p>
      <w:r>
        <w:t>27 gennaio 2004</w:t>
      </w:r>
    </w:p>
    <w:p>
      <w:r>
        <w:t>Sentenza</w:t>
      </w:r>
    </w:p>
    <w:p>
      <w:r>
        <w:t>In nomedella Repubblica e Cantonedel Ticino</w:t>
      </w:r>
    </w:p>
    <w:p>
      <w:r>
        <w:t>Il Giudice della Pretura penale</w:t>
      </w:r>
    </w:p>
    <w:p>
      <w:r>
        <w:t>Marco Ambrosini</w:t>
      </w:r>
    </w:p>
    <w:p>
      <w:r>
        <w:t>sedente con la segretaria Laura Rossini per statuire sul ricorso del __________ 2003 presentato da</w:t>
      </w:r>
    </w:p>
    <w:p>
      <w:r>
        <w:t>____________________,__________</w:t>
      </w:r>
    </w:p>
    <w:p>
      <w:r>
        <w:t>contro</w:t>
      </w:r>
    </w:p>
    <w:p>
      <w:r>
        <w:t>la decisione n. __________ /__________ del __________ 2003 emessadallaSezione della circolazione,Camorino,</w:t>
      </w:r>
    </w:p>
    <w:p>
      <w:r>
        <w:t>viste                                  le osservazioni del __________ 2003 presentate dalla Sezione della circolazione;</w:t>
      </w:r>
    </w:p>
    <w:p>
      <w:r>
        <w:t>letti ed esaminati gli atti;</w:t>
      </w:r>
    </w:p>
    <w:p>
      <w:r>
        <w:t>ritenutoin fatto:</w:t>
      </w:r>
    </w:p>
    <w:p>
      <w:r>
        <w:t>che la Sezione della circolazione, con decisione del __________ 2003, ha inflitto a __________ __________ una multa di fr. 1200., addebitandogli inoltre una tassa di giustizia di fr. 100. e le spese di fr. 40., per i seguenti fatti accertati il __________ 2003 in territorio di __________:</w:t>
      </w:r>
    </w:p>
    <w:p>
      <w:r>
        <w:t>"Ha omesso, quale__________, di osservare le disposizioni dell'OLR2 concernenti l'obbligo di conservare tutta la documentazione per il controllo dell'autorità d'esecuzione";</w:t>
      </w:r>
    </w:p>
    <w:p>
      <w:r>
        <w:t>che la risoluzione è stata emessa in applicazione degli art. 56, 103 cpv. 1 e 106 cpv. 1 LCS; 23 e 28 cpv. 2 OLR2;</w:t>
      </w:r>
    </w:p>
    <w:p>
      <w:r>
        <w:t>che __________ __________ è insorto contro tale decisione con un ricorso del __________ 2003 in cui postula in sostanza l'annullamento della multa;</w:t>
      </w:r>
    </w:p>
    <w:p>
      <w:r>
        <w:t>che in uno scritto del __________ 2003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23 cpv. 3 ORL2 il datore di lavoro e i conducenti indipendenti devono conservare durante due anni, presso la sede dell'azienda il registro della durata del lavoro, della guida e del riposo (lett. a), i dischi e le serie di dischi settimanali del cronotachigrafo (lett. b), i fogli settimanali e quotidiani del libretto di lavoro e i libretti di lavoro compilati (lett. c), come pure eventuali rapporti giornalieri ad uso interno dell'azienda, le carte di lavoro, i permessi e le decisioni di dispensa (lett. d);</w:t>
      </w:r>
    </w:p>
    <w:p>
      <w:r>
        <w:t>che chiunque ostacola l'autorità di esecuzione nell'attività di controllo, le rifiuta l'accesso all'azienda o la consegna dei documenti di controllo o le informazioni necessarie oppure le rilascia informazioni inveritiere è punito con l'arresto o con la multa (art. 28 cpv. 2 lett. d ORL2), la quale non può superare, di regola, fr. 5000. (cfr. art. 106 n. 1 e 2 CP);</w:t>
      </w:r>
    </w:p>
    <w:p>
      <w:r>
        <w:t>che in concreto la Sezione della circolazione ha multato l'interessato, come detto, per avere"omesso, quale__________, di osservare le disposizioni dell'OLR2 concernenti l'obbligo di conservare tutta la documentazione per il controllo dell'autorità d'esecuzione";</w:t>
      </w:r>
    </w:p>
    <w:p>
      <w:r>
        <w:t>che l'insorgente non contesta in sostanza la fattispecie ravvisata dall'autorità di primo grado, ma giustifica l'inadempienza come segue:</w:t>
      </w:r>
    </w:p>
    <w:p>
      <w:r>
        <w:t>"Ho lavorato come__________fino alla fine del mese di__________2003.</w:t>
      </w:r>
    </w:p>
    <w:p>
      <w:r>
        <w:t>Dopo luglio, all'inizio di agosto ho preparato tutti i dischi e il libretto di lavoro, che ho lasciato dentro la macchina.</w:t>
      </w:r>
    </w:p>
    <w:p>
      <w:r>
        <w:t>Sono partito in vacanza nel mio paese, con la famiglia.</w:t>
      </w:r>
    </w:p>
    <w:p>
      <w:r>
        <w:t>Dopo alcuni giorni sono ritornato in Svizzera con il bus, mentre l'automobile è rimasta in vacanza, per comodità di mia moglie.</w:t>
      </w:r>
    </w:p>
    <w:p>
      <w:r>
        <w:t>Durante le vacanze mia moglie ha fatto le pulizie alla macchina e per sbaglio ha buttato un sacchetto con carte varie, dove vi erano i dischi e il libretto di lavoro.</w:t>
      </w:r>
    </w:p>
    <w:p>
      <w:r>
        <w:t>Per questo motivo non ho potuto presentare i dischi e il libretto di lavoro che avevo preparato appositamente per il controllo.</w:t>
      </w:r>
    </w:p>
    <w:p>
      <w:r>
        <w:t>Siccome mia moglie ha buttato involontariamente i dischi e il libretto non trovo giusto che io debba pagare CHF 1340. di multa";</w:t>
      </w:r>
    </w:p>
    <w:p>
      <w:r>
        <w:t>che le giustificazioni addotte dal ricorrente non lo esimevano tuttavia dall'obbligo di conservare la documentazione richiesta con la dovuta diligenza epresso la sede dell'azienda(art. 23 cpv. 3 OLR2);</w:t>
      </w:r>
    </w:p>
    <w:p>
      <w:r>
        <w:t>che l'insorgente avrebbe dovuto, quanto meno, informare la moglie dell'importanza degli atti lasciati nel veicolo ed evitare  in ultima analisi  ch'essa scambiasse la documentazione per "carte varie" destinate al macero;</w:t>
      </w:r>
    </w:p>
    <w:p>
      <w:r>
        <w:t>che neppure soccorre al ricorrente invocare la sua buona fede, le contravvenzioni alle norme sulla circolazione stradale essendo per principio punibili anche se commesse per negligenza (art. 100 n. 1 cpv. 1 LCS e 333 cpv. 3 CP);</w:t>
      </w:r>
    </w:p>
    <w:p>
      <w:r>
        <w:t>che la sanzione inflitta dalla Sezione della circolazione risulta quindi  di per sé  giustificata dalla trasgressione perpetrata dall'interessato, nulla mutando al riguardo il fatto di non avere egli distrutto personalmente la nota documentazione;</w:t>
      </w:r>
    </w:p>
    <w:p>
      <w:r>
        <w:t>che l'involontarietà dell'infrazione perpetrata dal ricorrente giustifica nondimeno  tutto ben ponderato  di ridurre la multa inflittagli a fr. 600. e di soprassedere al prelievo di oneri processuali dell'odierno giudizio;</w:t>
      </w:r>
    </w:p>
    <w:p>
      <w:r>
        <w:t>che il ricorso va pertanto accolto in tale misura e la decisione impugnata riformata di conseguenza;</w:t>
      </w:r>
    </w:p>
    <w:p>
      <w:r>
        <w:t>per questi motivi,                visti gli art. 56, 103 cpv. 1 e 106 cpv. 1 LCS; 23 e 28 cpv. 2 OLR2; 1 segg. LPContr;</w:t>
      </w:r>
    </w:p>
    <w:p>
      <w:r>
        <w:t>pronuncia:1.     Il ricorso è parzialmente accolto e la decisione impugnata è riformata nel senso che a __________ __________ è inflitta una multa di fr. 600., oltre a una tassa di giustizia di fr. 100. e alle spese di fr. 40..</w:t>
      </w:r>
    </w:p>
    <w:p>
      <w:r>
        <w:t>2.     Non si prelevano né tasse né spese dell'attuale giudizio.</w:t>
      </w:r>
    </w:p>
    <w:p>
      <w:r>
        <w:t>3.     Intimazione a:</w:t>
      </w:r>
    </w:p>
    <w:p>
      <w:r>
        <w:t>____________________,__________,</w:t>
      </w:r>
    </w:p>
    <w:p>
      <w:r>
        <w:t> Sezione della circolazione,Camorino.</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