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30.2003.313 vom 5. September 2003</w:t>
      </w:r>
    </w:p>
    <w:p>
      <w:r>
        <w:t>TI Tribunale d'appello, 2003-09-05, IT</w:t>
      </w:r>
    </w:p>
    <w:p>
      <w:r>
        <w:rPr>
          <w:b/>
        </w:rPr>
        <w:t xml:space="preserve">Quelle: </w:t>
      </w:r>
      <w:r>
        <w:t>https://mcp.opencaselaw.ch/entscheid/ti_gerichte_30.2003.313</w:t>
      </w:r>
    </w:p>
    <w:p>
      <w:r>
        <w:t>FR: TI_GERICHTE 30.2003.313 du 5 septembre 2003</w:t>
      </w:r>
    </w:p>
    <w:p>
      <w:r>
        <w:t>IT: TI_GERICHTE 30.2003.313 del 5 settembre 2003</w:t>
      </w:r>
    </w:p>
    <w:p>
      <w:pPr>
        <w:pStyle w:val="Heading2"/>
      </w:pPr>
      <w:r>
        <w:t>Erwägungen</w:t>
      </w:r>
    </w:p>
    <w:p>
      <w:r>
        <w:rPr>
          <w:b/>
        </w:rPr>
        <w:t>E. 42</w:t>
      </w:r>
    </w:p>
    <w:p>
      <w:r>
        <w:t>cpv. 1 e 90 n. 1 LCS; 33 ONC; 1 segg. LPContr; pronuncia: 1.     Il ricorso è respinto e la decisione impugnata è confermata. 2.     La tassa di giustizia di fr. 50.– e le spese di fr. 50.– sono a carico del ricorrente. 3.     Intimazione a: – _________ _________, _________ (_________), – Sezione della circolazione, _________.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