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30.2003.293 vom 17. September 2003</w:t>
      </w:r>
    </w:p>
    <w:p>
      <w:r>
        <w:t>TI Tribunale d'appello, 2003-09-17, IT</w:t>
      </w:r>
    </w:p>
    <w:p>
      <w:r>
        <w:rPr>
          <w:b/>
        </w:rPr>
        <w:t xml:space="preserve">Quelle: </w:t>
      </w:r>
      <w:r>
        <w:t>https://mcp.opencaselaw.ch/entscheid/ti_gerichte_30.2003.293</w:t>
      </w:r>
    </w:p>
    <w:p>
      <w:r>
        <w:t>FR: TI_GERICHTE 30.2003.293 du 17 septembre 2003</w:t>
      </w:r>
    </w:p>
    <w:p>
      <w:r>
        <w:t>IT: TI_GERICHTE 30.2003.293 del 17 settembre 2003</w:t>
      </w:r>
    </w:p>
    <w:p>
      <w:pPr>
        <w:pStyle w:val="Heading2"/>
      </w:pPr>
      <w:r>
        <w:t>Volltext</w:t>
      </w:r>
    </w:p>
    <w:p>
      <w:r>
        <w:t>Incarto n.30.2003.293/fc</w:t>
      </w:r>
    </w:p>
    <w:p>
      <w:r>
        <w:t>25873/009</w:t>
      </w:r>
    </w:p>
    <w:p>
      <w:r>
        <w:t>Bellinzona</w:t>
      </w:r>
    </w:p>
    <w:p>
      <w:r>
        <w:t>17 settembre 2003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3 settembre 2003 presentato da</w:t>
      </w:r>
    </w:p>
    <w:p>
      <w:r>
        <w:t>__________ __________,domiciliato a __________, Via __________ __________,</w:t>
      </w:r>
    </w:p>
    <w:p>
      <w:r>
        <w:t>contro</w:t>
      </w:r>
    </w:p>
    <w:p>
      <w:r>
        <w:t>la decisione 29 agosto 2003 emessa dalla Sezione della circolazione, __________,</w:t>
      </w:r>
    </w:p>
    <w:p>
      <w:r>
        <w:t>rilevato che                         con scritto del 12 settembre 2003 la Sezione della circolazione ha proposto l'annullamento della decisione in ordine;</w:t>
      </w:r>
    </w:p>
    <w:p>
      <w:r>
        <w:t>decreta:                    1.La decisione 29 agosto 2003è annullata.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