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30.2003.272 vom 18. August 2003</w:t>
      </w:r>
    </w:p>
    <w:p>
      <w:r>
        <w:t>TI Tribunale d'appello, 2003-08-18, IT</w:t>
      </w:r>
    </w:p>
    <w:p>
      <w:r>
        <w:rPr>
          <w:b/>
        </w:rPr>
        <w:t xml:space="preserve">Quelle: </w:t>
      </w:r>
      <w:r>
        <w:t>https://mcp.opencaselaw.ch/entscheid/ti_gerichte_30.2003.272</w:t>
      </w:r>
    </w:p>
    <w:p>
      <w:r>
        <w:t>FR: TI_GERICHTE 30.2003.272 du 18 août 2003</w:t>
      </w:r>
    </w:p>
    <w:p>
      <w:r>
        <w:t>IT: TI_GERICHTE 30.2003.272 del 18 agosto 2003</w:t>
      </w:r>
    </w:p>
    <w:p>
      <w:pPr>
        <w:pStyle w:val="Heading2"/>
      </w:pPr>
      <w:r>
        <w:t>Volltext</w:t>
      </w:r>
    </w:p>
    <w:p>
      <w:r>
        <w:t>Incarto n.30.2003.272/bep</w:t>
      </w:r>
    </w:p>
    <w:p>
      <w:r>
        <w:t>22291/010</w:t>
      </w:r>
    </w:p>
    <w:p>
      <w:r>
        <w:t>Bellinzona</w:t>
      </w:r>
    </w:p>
    <w:p>
      <w:r>
        <w:t>18 agosto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29 luglio 2003 presentato da</w:t>
      </w:r>
    </w:p>
    <w:p>
      <w:r>
        <w:t>__________ __________,domiciliato a __________, __________ __________,</w:t>
      </w:r>
    </w:p>
    <w:p>
      <w:r>
        <w:t>contro</w:t>
      </w:r>
    </w:p>
    <w:p>
      <w:r>
        <w:t>la decisione 18 luglio 2003 emessa dalla Sezione della circolazione, __________,</w:t>
      </w:r>
    </w:p>
    <w:p>
      <w:r>
        <w:t>preso atto                          dello scritto 11 agosto 2003 del sig. __________</w:t>
      </w:r>
    </w:p>
    <w:p>
      <w:r>
        <w:t>decreta:                    1.Il ricorso 29 luglio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