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30.2003.256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https://mcp.opencaselaw.ch/entscheid/ti_gerichte_30.2003.256</w:t>
      </w:r>
    </w:p>
    <w:p>
      <w:r>
        <w:t>FR: TI_GERICHTE 30.2003.256 du 12 août 2003</w:t>
      </w:r>
    </w:p>
    <w:p>
      <w:r>
        <w:t>IT: TI_GERICHTE 30.2003.256 del 12 agosto 2003</w:t>
      </w:r>
    </w:p>
    <w:p>
      <w:pPr>
        <w:pStyle w:val="Heading2"/>
      </w:pPr>
      <w:r>
        <w:t>Volltext</w:t>
      </w:r>
    </w:p>
    <w:p>
      <w:r>
        <w:t>Incarto n.30.2003.256/fc</w:t>
      </w:r>
    </w:p>
    <w:p>
      <w:r>
        <w:t>22467/010</w:t>
      </w:r>
    </w:p>
    <w:p>
      <w:r>
        <w:t>Bellinzona</w:t>
      </w:r>
    </w:p>
    <w:p>
      <w:r>
        <w:t>12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23 luglio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rilevato che                         la ricorrente con scritto 7 agosto 2003 ha dichiarato di ritirare il ricorso,</w:t>
      </w:r>
    </w:p>
    <w:p>
      <w:r>
        <w:t>decreta:                    1.Il ricorso 23 luglio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