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30.2003.245 vom 4. Juli 2003</w:t>
      </w:r>
    </w:p>
    <w:p>
      <w:r>
        <w:t>TI Tribunale d'appello, 2003-07-04, IT</w:t>
      </w:r>
    </w:p>
    <w:p>
      <w:r>
        <w:rPr>
          <w:b/>
        </w:rPr>
        <w:t xml:space="preserve">Quelle: </w:t>
      </w:r>
      <w:r>
        <w:t>https://mcp.opencaselaw.ch/entscheid/ti_gerichte_30.2003.245</w:t>
      </w:r>
    </w:p>
    <w:p>
      <w:r>
        <w:t>FR: TI_GERICHTE 30.2003.245 du 4 juillet 2003</w:t>
      </w:r>
    </w:p>
    <w:p>
      <w:r>
        <w:t>IT: TI_GERICHTE 30.2003.245 del 4 luglio 2003</w:t>
      </w:r>
    </w:p>
    <w:p>
      <w:pPr>
        <w:pStyle w:val="Heading2"/>
      </w:pPr>
      <w:r>
        <w:t>Erwägungen</w:t>
      </w:r>
    </w:p>
    <w:p>
      <w:r>
        <w:rPr>
          <w:b/>
        </w:rPr>
        <w:t>E. 36</w:t>
      </w:r>
    </w:p>
    <w:p>
      <w:r>
        <w:t>cpv. 1 prima frase OSS); che giusta l'art. 14 cpv. 1 ONC chi è tenuto a dare la precedenza non deve ostacolare la marcia di chi ne ha diritto; egli deve ridurre per tempo la velocità e, se è obbligato ad aspettare, fermarsi prima dell'intersezione; che chiunque contravviene alle norme della circolazione contenute nella LCS o nelle prescrizioni di esecuzione del Consiglio federale è punito con l'arresto o con la multa (art. 90 n. 1 LCS); che la Sezione della circolazione ha sanzionato l'insorgente, come detto, per essersi immessa in un'intersezione dopo essersi fermata a un segnale di "stop" ed essersi scontrata con un autoveicolo avente la precedenza; che la ricorrente non nega di aver commesso l'infrazione ravvisata dall'autorità di primo grado, ma chiede in sostanza una riduzione della multa in considerazione della sua precaria situazione finanziaria; che la gravità della violazione ascritta all'insorgente giustifica – di per sé – la sanzione inflitta dalla Sezione della circolazione; che tuttavia, data la precaria situazione finanziaria allegata dalla ricorrente, si ritiene opportuno ridurre la multa inflittale a fr. 300.–, adeguare gli oneri di primo grado e soprassedere al prelievo di tasse e spese dell'odierno giudizio; che il ricorso va pertanto accolto in tale misura e la decisione impugnata riformata di conseguenza; per questi motivi,                visti gli art. 3, 27 cpv. 1, 36 cpv. 2 e 90 n. 1 LCS; 14 cpv. 1 ONC; 36 cpv. 1, 75 cpv. 1 e 2 OSS; 1 segg. LPContr; pronuncia: 1.     Il ricorso è parzialmente accolto e la decisione impugnata è riformata nel senso che a __________ __________ è inflitta una multa di fr. 300.–, oltre a una tassa di giustizia di fr. 60.– e alle spese di fr. 70.–. 2.     Non si prelevano né tasse né spese dell'attuale giudizio. 3.     Intimazione a: __________ __________ , __________ , Sezione della circolazione, 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