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30.2003.233 vom 6. August 2003</w:t>
      </w:r>
    </w:p>
    <w:p>
      <w:r>
        <w:t>TI Tribunale d'appello, 2003-08-06, IT</w:t>
      </w:r>
    </w:p>
    <w:p>
      <w:r>
        <w:rPr>
          <w:b/>
        </w:rPr>
        <w:t xml:space="preserve">Quelle: </w:t>
      </w:r>
      <w:r>
        <w:t>https://mcp.opencaselaw.ch/entscheid/ti_gerichte_30.2003.233</w:t>
      </w:r>
    </w:p>
    <w:p>
      <w:r>
        <w:t>FR: TI_GERICHTE 30.2003.233 du 6 août 2003</w:t>
      </w:r>
    </w:p>
    <w:p>
      <w:r>
        <w:t>IT: TI_GERICHTE 30.2003.233 del 6 agosto 2003</w:t>
      </w:r>
    </w:p>
    <w:p>
      <w:pPr>
        <w:pStyle w:val="Heading2"/>
      </w:pPr>
      <w:r>
        <w:t>Erwägungen</w:t>
      </w:r>
    </w:p>
    <w:p>
      <w:r>
        <w:rPr>
          <w:b/>
        </w:rPr>
        <w:t>E. 6</w:t>
      </w:r>
    </w:p>
    <w:p>
      <w:r>
        <w:t>Avantutto si rileva che l'assenza di demarcazione orizzontale nel punto della collisione può effettivamente creare difficoltà a chi proviene da Intragna e non è cognito dei luoghi, poiché la strada che si diparte verso _________ è decisamente più larga di quella che dopo la curva scende verso _________, che non è visibile se non all'ultimissimo momento (con la demarcazione orizzontale la situazione migliora, ma è comunque pericolosa e sarebbe opportuna la posa di un indicatore di direzione avanzato, segnale n. 4.37 OSStr). In concreto la citata mancanza non è tuttavia rilevante per il giudizio, come si può desumere dalle dichiarazioni rese dalla ricorrente stessa alla polizia: "Giunta in prossimità del bivio per _________ , poco prima di un'abitazione posta sulla destra, rallentavo per poter leggere i cartelli stradali posti all'altezza del bivio. Dopo aver guardato il cartello, capivo che per raggiungere _________ dovevo effettuare una curva piegante verso destra. Quindi proseguivo e percorsi alcuni metri, notavo che da _________ stava arrivando una vettura. Tale veicolo, nell'effettuare il tornante piegante verso la sua sinistra, si spostava verso il centro della strada, "tagliando" così la curva. Da parte mia, alla vista di tale vettura, azionavo prontamente i freni. Malgrado ciò non riuscivo a fermarmi ed entravo in collisione con la vettura che giungeva da _________ ." (cfr. verbale di interrogatorio _________ 2003 pag. 1 e seg.). Da questa dichiarazione si evince che la _________ era perfettamente al corrente, prima si scorgere il veicolo del protagonista _________, che si stava avvicinando ad un'intersezione e che la strada che intendeva seguire effettuava una curva a destra. Se ora si analizza lo schizzo allegato al rapporto di polizia si rileva che la collisione è avvenuta al centro dell'intersezione dopo una frenata della _________ di 10 metri (cfr. tracce di frenata) e che dopo l'urto il veicolo _________, colpito nel mezzo della fiancata sinistra, si è spostato di ca. 1 metro. Ciò significa che la collisione si è verifica in un punto nel quale la ricorrente in condizioni normali già doveva aver iniziato la curva. Da queste circostanze si desume che la _________ si è avvicinata all'intersezione ad una velocità tale che non le avrebbe permesso né di svoltare correttamente, né di evitare l'urto anche nell'ipotesi in cui l'altro protagonista avesse tenuto completamente la sua destra. In pratica teneva una velocità come se volesse proseguire in modo rettilineo. Con ciò ella ha leso la precedenza del protagonista _________, il quale anche se avesse "tagliato" la curva non sarebbe l'unico responsabile dell'infortunio. Una sua eventuale concolpa non deve qui essere disaminata, perché in materia contravvenzionale ognuno risponde delle proprie azioni ed omissioni. Il comportamento antigiuridico altrui non discrimina né attenua la responsabilità per una violazione di prescrizioni imputabile a propria colpa. Tale questione, semmai, andrebbe risolta dal giudice civile qualora insorgesse una controversia riguardo alla suddivisione, fra le parti, della responsabilità per il pregiudizio cagionato dall'incidente.</w:t>
      </w:r>
    </w:p>
    <w:p>
      <w:r>
        <w:rPr>
          <w:b/>
        </w:rPr>
        <w:t>E. 7</w:t>
      </w:r>
    </w:p>
    <w:p>
      <w:r>
        <w:t>. In simili evenienze questo giudice giunge al convincimento che la ricorrente abbia effettivamente commesso l'infrazione rimproveratagli, il che giustifica la condanna inflittale dal Dipartimento senza che sia necessario esperire il sopralluogo richiesto dall'interessata. Quanto all'entità della multa, essa risulta proporzionata alla gravità dell'infrazione commessa, rettamente commisurata al grado di colpa e contenuta nei limiti fissati dalla legge. Il ricorso deve pertanto essere respinto, seguito da tassa di giustizia e spese (art. 15 LPContr). per questi motivi,                visti gli art. 36 cpv. 2, 90 cifra 1 LCStr; 14 cpv. 1 ONC; 1 segg. LPContr; dichiara e pronuncia:                1. Il ricorso _________ 2003 è respinto e la decisione impugnata confermata. 2. La tassa di giustizia e le spese per complessivi fr. 250.- sono a carico della ricorrente. 3. Intimazione a: Sezione della circolazione, Camorino, _________ _________, _________, Avv. _________ _________, _________ _________, Il presidente: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