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30.2003.202 vom 16. Mai 2003</w:t>
      </w:r>
    </w:p>
    <w:p>
      <w:r>
        <w:t>TI Tribunale d'appello, 2003-05-16, IT</w:t>
      </w:r>
    </w:p>
    <w:p>
      <w:r>
        <w:rPr>
          <w:b/>
        </w:rPr>
        <w:t xml:space="preserve">Quelle: </w:t>
      </w:r>
      <w:r>
        <w:t>https://mcp.opencaselaw.ch/entscheid/ti_gerichte_30.2003.202</w:t>
      </w:r>
    </w:p>
    <w:p>
      <w:r>
        <w:t>FR: TI_GERICHTE 30.2003.202 du 16 mai 2003</w:t>
      </w:r>
    </w:p>
    <w:p>
      <w:r>
        <w:t>IT: TI_GERICHTE 30.2003.202 del 16 maggio 2003</w:t>
      </w:r>
    </w:p>
    <w:p>
      <w:pPr>
        <w:pStyle w:val="Heading2"/>
      </w:pPr>
      <w:r>
        <w:t>Erwägungen</w:t>
      </w:r>
    </w:p>
    <w:p>
      <w:r>
        <w:rPr>
          <w:b/>
        </w:rPr>
        <w:t>E. 3</w:t>
      </w:r>
    </w:p>
    <w:p>
      <w:r>
        <w:t>CP); che il divieto di cagionare rumori, contrariamente al parere dell'interessato,  vige anche fuori dall'abitato (cfr. il chiaro tenore dell'art. 33 ONC), in particolare se di notte – com'era il caso in concreto – il fatto essendo intervenuto alle ore 23.00 del 28 marzo (v. rapporto di contravvenzione); che, in definitiva, il ricorrente non nega di aver perpetrato l'infrazione rimproveratagli, né fa valere ragioni che inducano a discostarsi dalla decisione impugnata; che l'entità della multa, per finire, è proporzionata alla relativa gravità dell'infrazione commessa, rettamente commisurata al grado di colpa del multato e alle giustificazioni addotte dal medesimo, ed è contenuta inoltre nei limiti concessi dalla legge; che il ricorso – infondato – deve pertanto essere respinto, seguito da tassa di giustizia e spese; per questi motivi, visti                                   gli art. 42 cpv. 1 e 90 n. 1 LCS; 33 ONC; 1 segg. LPContr; pronuncia: 1.     Nella misura in cui è ricevibile, il ricorso è respinto e la decisione impugnata è confermata. 2.     La tassa di giustizia di fr. 50.– e le spese di fr. 50.– sono a carico del ricorrente. 3.     Intimazione a: – ____________ ____________, ____________ -____________, – Sezione della circolazione, ____________.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