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30.2003.197 vom 16. Mai 2003</w:t>
      </w:r>
    </w:p>
    <w:p>
      <w:r>
        <w:t>TI Tribunale d'appello, 2003-05-16, IT</w:t>
      </w:r>
    </w:p>
    <w:p>
      <w:r>
        <w:rPr>
          <w:b/>
        </w:rPr>
        <w:t xml:space="preserve">Quelle: </w:t>
      </w:r>
      <w:r>
        <w:t>https://mcp.opencaselaw.ch/entscheid/ti_gerichte_30.2003.197</w:t>
      </w:r>
    </w:p>
    <w:p>
      <w:r>
        <w:t>FR: TI_GERICHTE 30.2003.197 du 16 mai 2003</w:t>
      </w:r>
    </w:p>
    <w:p>
      <w:r>
        <w:t>IT: TI_GERICHTE 30.2003.197 del 16 maggio 2003</w:t>
      </w:r>
    </w:p>
    <w:p>
      <w:pPr>
        <w:pStyle w:val="Heading2"/>
      </w:pPr>
      <w:r>
        <w:t>Erwägungen</w:t>
      </w:r>
    </w:p>
    <w:p>
      <w:r>
        <w:rPr>
          <w:b/>
        </w:rPr>
        <w:t>E. 10</w:t>
      </w:r>
    </w:p>
    <w:p>
      <w:r>
        <w:t>giugno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sotto questo profilo, ricevibile;</w:t>
      </w:r>
    </w:p>
    <w:p>
      <w:r>
        <w:t>che ci si potrebbe invero interrogare sull'ammissibilità dell'impugnativa, laddove il ricorrente si limita a rinviare alle argomentazioni contenute in altri allegati;</w:t>
      </w:r>
    </w:p>
    <w:p>
      <w:r>
        <w:t>che il quesito può rimanere nondimeno indeciso, il ricorso dovendo essere respinto  comunque sia  per i motivi esposti in appresso;</w:t>
      </w:r>
    </w:p>
    <w:p>
      <w:r>
        <w:t>che per l'art. 48 cpv. 4 OSS, il conducente che posteggia l'autoveicolo in un'area di circolazione segnalata conformemente al capoverso 2 deve posizionare immediatamente la freccia del disco sulla lineetta susseguente l'ora d'arrivo (prima frase); egli metterà il disco in maniera ben visibile dietro il parabrezza (seconda frase);</w:t>
      </w:r>
    </w:p>
    <w:p>
      <w:r>
        <w:t>che chiunque contravviene alle norme della circolazione contenute nella LCS o nelle prescrizioni di esecuzione del Consiglio federale è punito con l'arresto o con la multa (art. 90 n. 1 LCS); per l'omissione di porre il disco di parcheggio in modo ben visibile, l'elenco allegato all'ordinanza concernente le multe disciplinari (__________) commina una sanzione pecuniaria di fr. 40.;</w:t>
      </w:r>
    </w:p>
    <w:p>
      <w:r>
        <w:t>che la Sezione della circolazione ha multato il ricorrente, come detto, per avere "posteggiato il veicolo__________omettendo di porre il disco di parcheggio dietro il parabrezza in modo ben visibile" (decisione impugnata, con riferimento al rapporto di contravvenzione e alle contro osservazioni del 6 marzo 2003 presentate dall'agente denunciante);</w:t>
      </w:r>
    </w:p>
    <w:p>
      <w:r>
        <w:t>che l'insorgente si duole in sostanza di come "aucun signal de restriction n'est visible et ce n'est après une 'reconnaissance' ultérieure durant la journée que j'ai constaté la présence tout à fait irrégulière d'un signal" (osservazioni del 24 febbraio 2003 alla Sezione della circolazione, richiamate nel ricorso);</w:t>
      </w:r>
    </w:p>
    <w:p>
      <w:r>
        <w:t>che nel suo rapporto di contro osservazioni del 6 marzo 2003 l'agente denunciante, dopo aver esperito un sopralluogo su invito dell'autorità di primo grado, ha avuto modo di accertare come la segnaletica litigiosa sia stata posata in modo corretto e facilmente visibile (cfr. anche la documentazione fotografica allegata al medesimo rapporto);</w:t>
      </w:r>
    </w:p>
    <w:p>
      <w:r>
        <w:t>che la lamentata carente illuminazione notturna del segnale non esimeva altresì l'interessato  una volta posteggiato il veicolo in un'area delimitata da linee di colore blu  dal dovere di verificare l'esistenza della segnaletica in questione;</w:t>
      </w:r>
    </w:p>
    <w:p>
      <w:r>
        <w:t>che l'eventuale buona fede del ricorrente non può giovargli, ove appena si consideri come le contravvenzioni alle norme sulla circolazione stradale sono per principio punibili anche se commesse per negligenza (art. 100 n. 1 cpv. 1 LCS e 333 cpv. 3 CP);</w:t>
      </w:r>
    </w:p>
    <w:p>
      <w:r>
        <w:t>che a ragione la Sezione della circolazione ha quindi inflitto all'insorgente una multa di fr. 40. per violazione degli art. 27 cpv. 1 LCS e 48 cpv. 4 OSS;</w:t>
      </w:r>
    </w:p>
    <w:p>
      <w:r>
        <w:t>che il ricorso  infondato  deve pertanto essere respinto, seguito da tassa di giustizia e spese;</w:t>
      </w:r>
    </w:p>
    <w:p>
      <w:r>
        <w:t>per questi motivi,                visti gli art. 3, 27 cpv. 1 e 90 n. 1 LCS; 48 cpv. 4 OSS; 1 segg. LPContr;</w:t>
      </w:r>
    </w:p>
    <w:p>
      <w:r>
        <w:t>pronuncia:1.     Nella misura in cui è ricevibile, il ricorso è respinto e la decisione impugnata è confermata.</w:t>
      </w:r>
    </w:p>
    <w:p>
      <w:r>
        <w:t>2.     La tassa di giustizia di fr. 50. e le spese di fr. 50. sono a carico del ricorrente.</w:t>
      </w:r>
    </w:p>
    <w:p>
      <w:r>
        <w:t>3.     Intimazione a:</w:t>
      </w:r>
    </w:p>
    <w:p>
      <w:r>
        <w:t>__________  __________  __________,__________,</w:t>
      </w:r>
    </w:p>
    <w:p>
      <w:r>
        <w:t> Sezione della circolazione,__________.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r>
        <w:rPr>
          <w:b/>
        </w:rPr>
        <w:t>E. 50</w:t>
      </w:r>
    </w:p>
    <w:p>
      <w:r>
        <w:t>e le spese di fr. 50.– sono a carico del ricorrente. 3.     Intimazione a: – __________  __________  __________ , __________ , – Sezione della circolazione, __________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