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30.2003.196 vom 4. Juli 2003</w:t>
      </w:r>
    </w:p>
    <w:p>
      <w:r>
        <w:t>TI Tribunale d'appello, 2003-07-04, IT</w:t>
      </w:r>
    </w:p>
    <w:p>
      <w:r>
        <w:rPr>
          <w:b/>
        </w:rPr>
        <w:t xml:space="preserve">Quelle: </w:t>
      </w:r>
      <w:r>
        <w:t>https://mcp.opencaselaw.ch/entscheid/ti_gerichte_30.2003.196</w:t>
      </w:r>
    </w:p>
    <w:p>
      <w:r>
        <w:t>FR: TI_GERICHTE 30.2003.196 du 4 juillet 2003</w:t>
      </w:r>
    </w:p>
    <w:p>
      <w:r>
        <w:t>IT: TI_GERICHTE 30.2003.196 del 4 luglio 2003</w:t>
      </w:r>
    </w:p>
    <w:p>
      <w:pPr>
        <w:pStyle w:val="Heading2"/>
      </w:pPr>
      <w:r>
        <w:t>Volltext</w:t>
      </w:r>
    </w:p>
    <w:p>
      <w:r>
        <w:t>Incarto n.30.2003.196/KRM</w:t>
      </w:r>
    </w:p>
    <w:p>
      <w:r>
        <w:t>Bellinzona</w:t>
      </w:r>
    </w:p>
    <w:p>
      <w:r>
        <w:t>4 luglio 2003</w:t>
      </w:r>
    </w:p>
    <w:p>
      <w:r>
        <w:t>Sentenza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Carmela Fiorini per statuire sul ricorso 2 giugno 2003 presentato da</w:t>
      </w:r>
    </w:p>
    <w:p>
      <w:r>
        <w:t>__________ __________,domiciliato a __________,</w:t>
      </w:r>
    </w:p>
    <w:p>
      <w:r>
        <w:t>Contro</w:t>
      </w:r>
    </w:p>
    <w:p>
      <w:r>
        <w:t>la decisione 23 maggio 2003 emessa dalla Sezione della circolazione, __________,</w:t>
      </w:r>
    </w:p>
    <w:p>
      <w:r>
        <w:t>letti ed esaminati gli atti.</w:t>
      </w:r>
    </w:p>
    <w:p>
      <w:r>
        <w:t>consideratoin fatto ed in diritto</w:t>
      </w:r>
    </w:p>
    <w:p>
      <w:r>
        <w:t>1.Il 30 maggio 2003 __________, ha inoltrato ricorso contro la decisione 23 maggio 2003 con cui la Sezione della circolazioneha risolto l'abbandono del procedimento contravvenzionale avviato nei suoi confronti per fatti accertati il 16 ottobre 2002.</w:t>
      </w:r>
    </w:p>
    <w:p>
      <w:r>
        <w:t>2.Lo scopo del ricorso è quello di far rivalutare da altra autorità la decisione.</w:t>
      </w:r>
    </w:p>
    <w:p>
      <w:r>
        <w:t>In concreto, trattandosi dell'abbandono del procedimento contravvenzionale, una riconsiderazione potrebbe solo comportare il riconoscimento della necessità di multare il ricorrente.</w:t>
      </w:r>
    </w:p>
    <w:p>
      <w:r>
        <w:t>3.Una persona non può decidere di automultarsi, perché la pretesa punitiva appartiene allo Stato.</w:t>
      </w:r>
    </w:p>
    <w:p>
      <w:r>
        <w:t>Ne segue che il signor __________ non ha alcun interesse legittimo a ricorrere.</w:t>
      </w:r>
    </w:p>
    <w:p>
      <w:r>
        <w:t>4.Vista la particolarità della fattispecie e l'imperizia del ricorrente si può prescindere in via eccezionale dal prelevare tasse e spese.</w:t>
      </w:r>
    </w:p>
    <w:p>
      <w:r>
        <w:t>per questi motivi,                visti gli art. 4 e 15 LPContr,</w:t>
      </w:r>
    </w:p>
    <w:p>
      <w:r>
        <w:t>pronuncia:                1.Il ricorso 30 maggio 2003è irricevibile.</w:t>
      </w:r>
    </w:p>
    <w:p>
      <w:r>
        <w:t>2.Non si prelevano né tassa di giustizia né spese.</w:t>
      </w:r>
    </w:p>
    <w:p>
      <w:r>
        <w:t>3.Intimazione a:</w:t>
      </w:r>
    </w:p>
    <w:p>
      <w:r>
        <w:t>Sezione della circolazione, __________,</w:t>
      </w:r>
    </w:p>
    <w:p>
      <w:r>
        <w:t>__________, via __________, __________</w:t>
      </w:r>
    </w:p>
    <w:p>
      <w:r>
        <w:t>Il presidente: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