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30.2003.182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https://mcp.opencaselaw.ch/entscheid/ti_gerichte_30.2003.182</w:t>
      </w:r>
    </w:p>
    <w:p>
      <w:r>
        <w:t>FR: TI_GERICHTE 30.2003.182 du 28 mai 2003</w:t>
      </w:r>
    </w:p>
    <w:p>
      <w:r>
        <w:t>IT: TI_GERICHTE 30.2003.182 del 28 maggio 2003</w:t>
      </w:r>
    </w:p>
    <w:p>
      <w:pPr>
        <w:pStyle w:val="Heading2"/>
      </w:pPr>
      <w:r>
        <w:t>Volltext</w:t>
      </w:r>
    </w:p>
    <w:p>
      <w:r>
        <w:t>Incarto n.30.2003.182/KRM</w:t>
      </w:r>
    </w:p>
    <w:p>
      <w:r>
        <w:t>14549/010</w:t>
      </w:r>
    </w:p>
    <w:p>
      <w:r>
        <w:t>Bellinzona</w:t>
      </w:r>
    </w:p>
    <w:p>
      <w:r>
        <w:t>28 maggio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sull'opposizione 23 maggio 2003 presentato da</w:t>
      </w:r>
    </w:p>
    <w:p>
      <w:r>
        <w:t>__________ ____________________,domiciliata a __________, Viale __________ __________,</w:t>
      </w:r>
    </w:p>
    <w:p>
      <w:r>
        <w:t>difesa da: Avv. ____________________, __________,</w:t>
      </w:r>
    </w:p>
    <w:p>
      <w:r>
        <w:t>contro</w:t>
      </w:r>
    </w:p>
    <w:p>
      <w:r>
        <w:t>la decisione 9 maggio 2003 emessa dalla Sezione della circolazione, __________,</w:t>
      </w:r>
    </w:p>
    <w:p>
      <w:r>
        <w:t>letti ed esaminati gli atti.</w:t>
      </w:r>
    </w:p>
    <w:p>
      <w:r>
        <w:t>considerato                      in fatto ed in diritto</w:t>
      </w:r>
    </w:p>
    <w:p>
      <w:r>
        <w:t>A.Il 23 maggio 2003 __________ __________ __________, ha inoltrato opposizione, per il tramite dell'avv. __________ __________, contro la decisione 9 maggio 2003 con cui la Sezione della circolazionele ha inflitto una multa di fr. 100.- per aver circolato impiegando durante la guida un telefono senza dispositivo "mani libere".</w:t>
      </w:r>
    </w:p>
    <w:p>
      <w:r>
        <w:t>B.Per l'art. 4 LPContr contro la decisione di prima istanza può essere inoltrato alla Pretura penale ricorso motivato entro il termine di 15 giorni.</w:t>
      </w:r>
    </w:p>
    <w:p>
      <w:r>
        <w:t>Tale facoltà è indicata peraltro in calce alla risoluzione in discussione.</w:t>
      </w:r>
    </w:p>
    <w:p>
      <w:r>
        <w:t>C.Contro le decisioni dell'autorità amministrativa non è per contro data la facoltà di interporre opposizione, come invece fatto dal legale della signora __________ __________.</w:t>
      </w:r>
    </w:p>
    <w:p>
      <w:r>
        <w:t>D.L'opposizione deve pertanto essere dichiarata irricevibile.</w:t>
      </w:r>
    </w:p>
    <w:p>
      <w:r>
        <w:t>E.Non si preleva tassa di giustizia; le spese di fr. 30.- sono a carico dell'opponente.</w:t>
      </w:r>
    </w:p>
    <w:p>
      <w:r>
        <w:t>per questi motivi,                visti gli art. 4, 15 LPContr;</w:t>
      </w:r>
    </w:p>
    <w:p>
      <w:r>
        <w:t>dichiara e</w:t>
      </w:r>
    </w:p>
    <w:p>
      <w:r>
        <w:t>pronuncia:                1.L'opposizioneè irricevibile.</w:t>
      </w:r>
    </w:p>
    <w:p>
      <w:r>
        <w:t>2.Non si preleva tassa di giustizia; le spese di fr. 30.- sono a carico dell'opponente.</w:t>
      </w:r>
    </w:p>
    <w:p>
      <w:r>
        <w:t>3.Intimazione a:</w:t>
      </w:r>
    </w:p>
    <w:p>
      <w:r>
        <w:t>Sezione della circolazione, __________,</w:t>
      </w:r>
    </w:p>
    <w:p>
      <w:r>
        <w:t>__________, __________,</w:t>
      </w:r>
    </w:p>
    <w:p>
      <w:r>
        <w:t>Avv.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