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30.2003.164 vom 25. April 2003</w:t>
      </w:r>
    </w:p>
    <w:p>
      <w:r>
        <w:t>TI Tribunale d'appello, 2003-04-25, IT</w:t>
      </w:r>
    </w:p>
    <w:p>
      <w:r>
        <w:rPr>
          <w:b/>
        </w:rPr>
        <w:t xml:space="preserve">Quelle: </w:t>
      </w:r>
      <w:r>
        <w:t>https://mcp.opencaselaw.ch/entscheid/ti_gerichte_30.2003.164</w:t>
      </w:r>
    </w:p>
    <w:p>
      <w:r>
        <w:t>FR: TI_GERICHTE 30.2003.164 du 25 avril 2003</w:t>
      </w:r>
    </w:p>
    <w:p>
      <w:r>
        <w:t>IT: TI_GERICHTE 30.2003.164 del 25 aprile 2003</w:t>
      </w:r>
    </w:p>
    <w:p>
      <w:pPr>
        <w:pStyle w:val="Heading2"/>
      </w:pPr>
      <w:r>
        <w:t>Erwägungen</w:t>
      </w:r>
    </w:p>
    <w:p>
      <w:r>
        <w:rPr>
          <w:b/>
        </w:rPr>
        <w:t>E. 47</w:t>
      </w:r>
    </w:p>
    <w:p>
      <w:r>
        <w:t>cpv. 2 LCS non vieta solo il sorpasso di una colonna totalmente immobile, ma anche di una colonna che avanzi lentamente e a singhiozzo (cfr. DTF 129 IV 158 consid. 3.2.2 con richiamo di giurisprudenza); che il ricorrente si duole altresì di come la Sezione della circolazione gli abbia addossato tutte le colpe, senza elevare contravvenzioni all'automobilista, reo – stando all'insorgente – di avere provocato il sinistro con una manovra di svolta irregolare; che in ambito penale, tuttavia, ognuno risponde delle proprie violazioni, sicché il comportamento antigiuridico altrui non discrimina né attenua la responsabilità per una violazione di prescrizioni imputabile a propria colpa; che l'autorità di primo grado ha del resto sottolineato nella decisione impugnata come l'insorgente si sia scontrato " con una vettura che irregolarmente stava svoltando a sinistra "; che il gravame si rivela quindi anche sotto questo aspetto destituito di fondamento; che, nondimeno, per il sorpasso di una colonna in violazione dell'art. 47 cpv. 2 LCS, l'elenco allegato all'ordinanza concernente le multe disciplinari ( _________ . _________ ) commina una sanzione pecuniaria di fr. 60.–; che, non ravvisandosi altre infrazioni dell'interessato alle norme evocate dalla Sezione della circolazione, la multa inflittagli dev'essere ridotta in tale misura; che il parziale accoglimento del ricorso giustifica di soprassedere al prelievo di oneri processuali dell'odierno giudizio; per questi motivi,                visti gli art. 47 cpv. 2 e 90 n. 1 LCS; 1 segg. LPContr; pronuncia: 1.     Il ricorso è parzialmente accolto e la decisione impugnata è riformata nel senso che a _________ _________ è inflitta una multa di fr. 60.–, oltre a una tassa di giustizia di fr. 20.– e alle spese di fr. 30.–. 2.     Non si prelevano né tasse né spese dell'attuale giudizio. 3.     Intimazione a: _________ _________ , _________ , Sezione della circolazione, 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