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30.2003.160 vom 2. Oktober 2003</w:t>
      </w:r>
    </w:p>
    <w:p>
      <w:r>
        <w:t>TI Tribunale d'appello, 2003-10-02, IT</w:t>
      </w:r>
    </w:p>
    <w:p>
      <w:r>
        <w:rPr>
          <w:b/>
        </w:rPr>
        <w:t xml:space="preserve">Quelle: </w:t>
      </w:r>
      <w:r>
        <w:t>https://mcp.opencaselaw.ch/entscheid/ti_gerichte_30.2003.160</w:t>
      </w:r>
    </w:p>
    <w:p>
      <w:r>
        <w:t>FR: TI_GERICHTE 30.2003.160 du 2 octobre 2003</w:t>
      </w:r>
    </w:p>
    <w:p>
      <w:r>
        <w:t>IT: TI_GERICHTE 30.2003.160 del 2 ottobre 2003</w:t>
      </w:r>
    </w:p>
    <w:p>
      <w:pPr>
        <w:pStyle w:val="Heading2"/>
      </w:pPr>
      <w:r>
        <w:t>Erwägungen</w:t>
      </w:r>
    </w:p>
    <w:p>
      <w:r>
        <w:rPr>
          <w:b/>
        </w:rPr>
        <w:t>E. 2</w:t>
      </w:r>
    </w:p>
    <w:p>
      <w:r>
        <w:t>Il 17 dicembre 2002 è stata inflitta a _________ _________ da parte della Polizia comunale di _________ una multa disciplinare di fr. 40.- ed è stato assegnato un termine di 30 giorni per il pagamento. Questo termine è scaduto infruttuoso il 16 gennaio 2003 e la Polizia ha inviato al ricorrente il 5 febbraio 2003 un rapporto di contravvenzione con l'invito a formulare eventuali osservazioni entro 15 giorni e con l'indicazione che la multa non poteva più essere pagata nella procedura disciplinare essendo avviata la procedura ordinaria.</w:t>
      </w:r>
    </w:p>
    <w:p>
      <w:r>
        <w:rPr>
          <w:b/>
        </w:rPr>
        <w:t>E. 3</w:t>
      </w:r>
    </w:p>
    <w:p>
      <w:r>
        <w:t>Intimazione a: Sezione della circolazione, ___________, _________ _________ , _________ , Il presidente: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