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30.2003.150 vom 19. Mai 2003</w:t>
      </w:r>
    </w:p>
    <w:p>
      <w:r>
        <w:t>TI Tribunale d'appello, 2003-05-19, IT</w:t>
      </w:r>
    </w:p>
    <w:p>
      <w:r>
        <w:rPr>
          <w:b/>
        </w:rPr>
        <w:t xml:space="preserve">Quelle: </w:t>
      </w:r>
      <w:r>
        <w:t>https://mcp.opencaselaw.ch/entscheid/ti_gerichte_30.2003.150</w:t>
      </w:r>
    </w:p>
    <w:p>
      <w:r>
        <w:t>FR: TI_GERICHTE 30.2003.150 du 19 mai 2003</w:t>
      </w:r>
    </w:p>
    <w:p>
      <w:r>
        <w:t>IT: TI_GERICHTE 30.2003.150 del 19 maggio 2003</w:t>
      </w:r>
    </w:p>
    <w:p>
      <w:pPr>
        <w:pStyle w:val="Heading2"/>
      </w:pPr>
      <w:r>
        <w:t>Volltext</w:t>
      </w:r>
    </w:p>
    <w:p>
      <w:r>
        <w:t>Incarto n.30.2003.150/fc</w:t>
      </w:r>
    </w:p>
    <w:p>
      <w:r>
        <w:t>12188/007</w:t>
      </w:r>
    </w:p>
    <w:p>
      <w:r>
        <w:t>Bellinzona</w:t>
      </w:r>
    </w:p>
    <w:p>
      <w:r>
        <w:t>19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19 aprile 2003 presentato da</w:t>
      </w:r>
    </w:p>
    <w:p>
      <w:r>
        <w:t>__________ __________,domiciliata a __________, Via __________,</w:t>
      </w:r>
    </w:p>
    <w:p>
      <w:r>
        <w:t>contro</w:t>
      </w:r>
    </w:p>
    <w:p>
      <w:r>
        <w:t>la decisione 11 aprile 2003 emessa dalla Sezione della circolazione, __________,</w:t>
      </w:r>
    </w:p>
    <w:p>
      <w:r>
        <w:t>rilevato che                         con lettera 13 maggio 2003 la Sezione della circolazione ha chiesto di annullare la decisione in ordine;</w:t>
      </w:r>
    </w:p>
    <w:p>
      <w:r>
        <w:t>decreta:                    1.La decisione 11 aprile 2003 è annullata e il ricorso 19 aprile 2003 inoltrato da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 (con incarto di ritorno),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