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30.2003.145 vom 12. Mai 2003</w:t>
      </w:r>
    </w:p>
    <w:p>
      <w:r>
        <w:t>TI Tribunale d'appello, 2003-05-12, IT</w:t>
      </w:r>
    </w:p>
    <w:p>
      <w:r>
        <w:rPr>
          <w:b/>
        </w:rPr>
        <w:t xml:space="preserve">Quelle: </w:t>
      </w:r>
      <w:r>
        <w:t>https://mcp.opencaselaw.ch/entscheid/ti_gerichte_30.2003.145</w:t>
      </w:r>
    </w:p>
    <w:p>
      <w:r>
        <w:t>FR: TI_GERICHTE 30.2003.145 du 12 mai 2003</w:t>
      </w:r>
    </w:p>
    <w:p>
      <w:r>
        <w:t>IT: TI_GERICHTE 30.2003.145 del 12 maggio 2003</w:t>
      </w:r>
    </w:p>
    <w:p>
      <w:pPr>
        <w:pStyle w:val="Heading2"/>
      </w:pPr>
      <w:r>
        <w:t>Volltext</w:t>
      </w:r>
    </w:p>
    <w:p>
      <w:r>
        <w:t>Incarto n.30.2003.145/fc</w:t>
      </w:r>
    </w:p>
    <w:p>
      <w:r>
        <w:t>01.405.01.13499.708</w:t>
      </w:r>
    </w:p>
    <w:p>
      <w:r>
        <w:t>Bellinzona</w:t>
      </w:r>
    </w:p>
    <w:p>
      <w:r>
        <w:t>12 maggio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20 febbraio 2003 presentato da</w:t>
      </w:r>
    </w:p>
    <w:p>
      <w:r>
        <w:t>__________ __________,domiciliato a __________ s. __________, Via __________ __________,</w:t>
      </w:r>
    </w:p>
    <w:p>
      <w:r>
        <w:t>contro</w:t>
      </w:r>
    </w:p>
    <w:p>
      <w:r>
        <w:t>la decisione 15 febbraio 2003 emessa dalla Ufficio esazione e condoni, __________,</w:t>
      </w:r>
    </w:p>
    <w:p>
      <w:r>
        <w:t>rilevato che                         il signor __________ ha nel frattempo ha provveduto al pagamento della multa oggetto del ricorso;</w:t>
      </w:r>
    </w:p>
    <w:p>
      <w:r>
        <w:t>decreta:                    1.Il ricorso 20 febbraio 2003 inoltrato da __________ __________,__________s. 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Ufficio esazione e condoni, __________,</w:t>
      </w:r>
    </w:p>
    <w:p>
      <w:r>
        <w:t>__________ __________, __________ s.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