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30.2003.139 vom 18. Juli 2003</w:t>
      </w:r>
    </w:p>
    <w:p>
      <w:r>
        <w:t>TI Tribunale d'appello, 2003-07-18, IT</w:t>
      </w:r>
    </w:p>
    <w:p>
      <w:r>
        <w:rPr>
          <w:b/>
        </w:rPr>
        <w:t xml:space="preserve">Quelle: </w:t>
      </w:r>
      <w:r>
        <w:t>https://mcp.opencaselaw.ch/entscheid/ti_gerichte_30.2003.139</w:t>
      </w:r>
    </w:p>
    <w:p>
      <w:r>
        <w:t>FR: TI_GERICHTE 30.2003.139 du 18 juillet 2003</w:t>
      </w:r>
    </w:p>
    <w:p>
      <w:r>
        <w:t>IT: TI_GERICHTE 30.2003.139 del 18 luglio 2003</w:t>
      </w:r>
    </w:p>
    <w:p>
      <w:pPr>
        <w:pStyle w:val="Heading2"/>
      </w:pPr>
      <w:r>
        <w:t>Volltext</w:t>
      </w:r>
    </w:p>
    <w:p>
      <w:r>
        <w:t>Incarto n.30.2003.139/ROC/MAM</w:t>
      </w:r>
    </w:p>
    <w:p>
      <w:r>
        <w:t>11027/010</w:t>
      </w:r>
    </w:p>
    <w:p>
      <w:r>
        <w:t>Bellinzona</w:t>
      </w:r>
    </w:p>
    <w:p>
      <w:r>
        <w:t>18 luglio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sedente con il Segretario assessore Michele Maggi per statuire sul ricorso 15 aprile 2003 presentato da</w:t>
      </w:r>
    </w:p>
    <w:p>
      <w:r>
        <w:t>___________ ___________,___________</w:t>
      </w:r>
    </w:p>
    <w:p>
      <w:r>
        <w:t>contro</w:t>
      </w:r>
    </w:p>
    <w:p>
      <w:r>
        <w:t>ladecisione 4 aprile 2003emessadallaSezione della circolazione,___________,</w:t>
      </w:r>
    </w:p>
    <w:p>
      <w:r>
        <w:t>viste                                  le osservazioni  29.04.2003 presentate dalla Sezione della Circolazione,___________;</w:t>
      </w:r>
    </w:p>
    <w:p>
      <w:r>
        <w:t>letti ed esaminati                gli atti;</w:t>
      </w:r>
    </w:p>
    <w:p>
      <w:r>
        <w:t>considerato                      in fatto ed in diritto</w:t>
      </w:r>
    </w:p>
    <w:p>
      <w:r>
        <w:t>1.Con decisione 4 aprile 2003 (emanata a seguito di un rapporto di contravvenzione del 10.02.2003 della Polizia comunale della Città di___________e relazionato ad un procedimento di multa disciplinare asensi degli artt. 1 e segg. LMD avviato in data 11.11.2002 e avverso il quale il ricorrente, neppure dopo la relativa intimazione di contravvenzione 13.01.2003, ha formulato osservazione alcuna), la Sezione della Circolazione, Ufficio giuridico,___________, ha inflitto a___________ ___________,___________, una multa di Fr. 100.-, oltre a tassa di giustizia e spese, per avere egli nel mese di novembre 2002, a___________, località___________ ___________, messo in circolazione il veicolo___________avente un copertone privo di sufficienti rilievi antiscivolanti. La risoluzione è stata resa in applicazione degli artt. 29 e 93 cfr. 2 LCS, come pure degli artt. 58 cpv. 4 e 219 cpv. 1 OETV.</w:t>
      </w:r>
    </w:p>
    <w:p>
      <w:r>
        <w:t>2.Contro la predetta pronuncia dipartimentale,___________ ___________è insorto con tempestivo ricorso 15 aprile 2003, postulandone lannullamento. Egli sostiene in particolare di avere già a suo tempo ottemperato al proprio obbligo di pagamento, riconoscendo così implicitamente la propria colpevolezza in punto alla commessa infrazione di cui sopra, più nulla essendo pertanto dovuto.</w:t>
      </w:r>
    </w:p>
    <w:p>
      <w:r>
        <w:t>3.Con sue osservazioni 29.04.2003, il competente Dipartimento, avvedendosi di una disattenzione commessa durante liter procedurale, ha postulato laccoglimento del gravame ed il pedissequo annullamento della decisione impugnata, riconoscendo in particolare il fatto che il ricorrente avesse già tempestivamente pagato la multa disciplinare in oggetto.</w:t>
      </w:r>
    </w:p>
    <w:p>
      <w:r>
        <w:t>4.La competenza di questo Giudice, la legitimazione attiva dellinsorgente e la tempestività dellimpugnativa sono date dallart. 4 LPContr. Il ricorso è pertanto ricevibile in ordine e può essere giudicato sulla base degli atti ai sensi dellart. 12 LPContr.</w:t>
      </w:r>
    </w:p>
    <w:p>
      <w:r>
        <w:t>5.Nel merito, appare senzaltro manifesta lincongruenza venutasi a creare nella presente fattispecie, il ricorrente avendo chiaramente adempiuto al proprio obbligo di pagamento della predetta sanzione pecuniaria (cfr. quietanza no. 18084 prodotta dal ricorrente, avvalsosi della facoltà concessagli dallart. 11 cpv. 2 LPContr), non potendosi pertanto procedere ad una nuova sanzione nei confronti dello stesso per lidentico reato avvenuto nellidentico periodo di tempo, quanto precede alla luce della nota massima dottrinale e giurisprudenziale ne bis in idem.</w:t>
      </w:r>
    </w:p>
    <w:p>
      <w:r>
        <w:t>6.Stante quanto precede, il ricorso deve senzaltro essere accolto con relativa dispensa dal pagamento di tasse e spese di giustizia in virtù del principio generale della soccombenza.</w:t>
      </w:r>
    </w:p>
    <w:p>
      <w:r>
        <w:t>per questi motivi                 visti gli artt. 29 e 93 cfr. 2 LCS, artt. 58 cpv. 4 e 219 cpv. 1 OETV, artt. 1 segg. LPContr;</w:t>
      </w:r>
    </w:p>
    <w:p>
      <w:r>
        <w:t>dichiara e</w:t>
      </w:r>
    </w:p>
    <w:p>
      <w:r>
        <w:t>pronuncia:                1.Il ricorso 15 aprile 2003 di___________ ___________,___________,è accolto.</w:t>
      </w:r>
    </w:p>
    <w:p>
      <w:r>
        <w:t>§   Di conseguenza la decisione dipartimentale 4 aprile 2003 della Sezione della Circolazione,___________,è annullata.</w:t>
      </w:r>
    </w:p>
    <w:p>
      <w:r>
        <w:t>2.Non si prelevano né tasse né spese di giustizia.</w:t>
      </w:r>
    </w:p>
    <w:p>
      <w:r>
        <w:t>3.Intimazione a:</w:t>
      </w:r>
    </w:p>
    <w:p>
      <w:r>
        <w:t>Sezione della Circolazione, Ufficio giuridico,___________,</w:t>
      </w:r>
    </w:p>
    <w:p>
      <w:r>
        <w:t>___________ ___________,___________,</w:t>
      </w:r>
    </w:p>
    <w:p>
      <w:r>
        <w:t>Il giudice:                                                                               il Segretario assessore:</w:t>
      </w:r>
    </w:p>
    <w:p>
      <w:r>
        <w:t>Claudio Rotanzi                                                                        Michele Maggi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