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30.2002.81 vom 5. Februar 2003</w:t>
      </w:r>
    </w:p>
    <w:p>
      <w:r>
        <w:t>TI Tribunale d'appello, 2003-02-05, IT</w:t>
      </w:r>
    </w:p>
    <w:p>
      <w:r>
        <w:rPr>
          <w:b/>
        </w:rPr>
        <w:t xml:space="preserve">Quelle: </w:t>
      </w:r>
      <w:r>
        <w:t>https://mcp.opencaselaw.ch/entscheid/ti_gerichte_30.2002.81</w:t>
      </w:r>
    </w:p>
    <w:p>
      <w:r>
        <w:t>FR: TI_GERICHTE 30.2002.81 du 5 février 2003</w:t>
      </w:r>
    </w:p>
    <w:p>
      <w:r>
        <w:t>IT: TI_GERICHTE 30.2002.81 del 5 febbraio 2003</w:t>
      </w:r>
    </w:p>
    <w:p>
      <w:pPr>
        <w:pStyle w:val="Heading2"/>
      </w:pPr>
      <w:r>
        <w:t>Erwägungen</w:t>
      </w:r>
    </w:p>
    <w:p>
      <w:r>
        <w:rPr>
          <w:b/>
        </w:rPr>
        <w:t>E. 1</w:t>
      </w:r>
    </w:p>
    <w:p>
      <w:r>
        <w:t>La competenza del giudice della Pretura penale, la legittimazione attiva dell'insorgente e la tempestività dell'impugnativa sono date dall'art. 4 LPContr. Il ricorso è pertanto ricevibile. I nuovi memoriali presentati dall'interessato il 2 e il 10 gennaio 2003 sono per converso inammissibili, la procedura per le contravvenzioni non conferendo alle parti la facoltà di presentare un doppio scambio di allegati. Del resto le osservazioni dipartimentali del 10 dicembre 2002 non contengono novità tali da giustificare l'inoltro di una replica. Si aggiunga, per abbondanza, che le argomentazioni esposte dall'insorgente in siffatti memoriali non appaiono suscettibili – comunque sia – d'influire sull'esito del ricorso.</w:t>
      </w:r>
    </w:p>
    <w:p>
      <w:r>
        <w:rPr>
          <w:b/>
        </w:rPr>
        <w:t>E. 2</w:t>
      </w:r>
    </w:p>
    <w:p>
      <w:r>
        <w:t>Il ricorrente postula l'assunzione di nuove prove e chiede inoltre di essere sentito personalmente. Ora, l'art. 12 cpv. 1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le nuove prove offerte – così come l'audizione personale dell'insorgente – non appaiono suscettibili di recare chiarimenti di rilievo ai fini del giudizio, gli atti di causa essendo completi. Nulla osta pertanto all'esame del ricorso nel merito.</w:t>
      </w:r>
    </w:p>
    <w:p>
      <w:r>
        <w:rPr>
          <w:b/>
        </w:rPr>
        <w:t>E. 3</w:t>
      </w:r>
    </w:p>
    <w:p>
      <w:r>
        <w:t>L'autorità di primo grado ha giustificato la multa inflitta al ricorrente, adducendo che l'interessato "ha lavorato in qualità di consulente informatico, dal 1.12.2001 al 25.3.2002, per complessive 5/7 settimane circa, a favore della ditta _________ _________ _________ _________ SA, _________ , sprovvisto del permesso della Sezione dei permessi e dell'immigrazione che [gli] consentisse di svolgere detta attività" (risoluzione impugnata, con rinvio al rapporto di contravvenzione del 18 settembre 2002). La decisione è stata resa in applicazione degli art. 3 cpv. 3 LDDS, 6 OLS e 38 Rast-CE/AELS.</w:t>
      </w:r>
    </w:p>
    <w:p>
      <w:r>
        <w:rPr>
          <w:b/>
        </w:rPr>
        <w:t>E. 4</w:t>
      </w:r>
    </w:p>
    <w:p>
      <w:r>
        <w:t>Il ricorrente non nega di aver collaborato con la _________ _________ _________ _________ SA nel periodo indicato dal dipartimento, ma sostiene che "la sua attività si è … svolta esclusivamente in Italia, ovvero in Lombardia, Piemonte, Veneto e Emilia Romagna" (ricorso, pag. 2 in basso). È vero, soggiunge l'interessato, ch'egli si è recato alcune volte presso gli uffici della società a _________ . Ciò non sarebbe tuttavia avvenuto, a suo dire, per motivi di lavoro. Il ricorrente esclude in definitiva che la sua attività configuri una violazione della normativa sugli stranieri. Donde il postulato annullamento della decisione impugnata.</w:t>
      </w:r>
    </w:p>
    <w:p>
      <w:r>
        <w:rPr>
          <w:b/>
        </w:rPr>
        <w:t>E. 5</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w:t>
      </w:r>
    </w:p>
    <w:p>
      <w:r>
        <w:rPr>
          <w:b/>
        </w:rPr>
        <w:t>E. 6</w:t>
      </w:r>
    </w:p>
    <w:p>
      <w:r>
        <w:t>In concreto, dalla deposizione resa dal ricorrente davanti alla polizia cantonale si evince quanto segue (verbale del 26 marzo 2002 allegato al rapporto di polizia del 5 aprile 2002): "Ho iniziato a collaborare con [la _________ _________ _________ _________ SA], a tempo pieno, il 1.12.2001. In pratica, le mie mansioni, considerato che trattasi di una nuova società, sono quelle di acquisire nuovi clienti in Italia e assistere allo sviluppo del servizio. Per il momento l'attività viene svolta solamente in Italia, vale a dire in Lombardia – Piemonte – Veneto – Emilia Romagna. […] Confermo nuovamente che la mia attività per la società succitata si svolge unicamente in Italia. Devo dire che per 3 volte alla settimana al massimo, dove mi soffermo in media dalle 2 alle 4 ore ogni volta, vengo negli uffici di _________ _________ _________ _________ , per le istruzioni e relazioni di lavoro, come per presentare quanto io eseguo e produco all'estero. In questi uffici, non ho uno spazio di lavoro a mia disposizione e vedo il signor _________ _________ _________ una volta alla settimana al massimo, visto che lui è soventemente [ _________ ] assente all'estero, per motivi di lavoro. Di regola sono i suoi assistenti che mi riferiscono cosa devo fare e che io presento il rendiconto della mia attività all'estero. […]". Lo stesso insorgente riconosce pertanto che, pur svolgendo le sue mansioni per la _________ _________ _________ _________ SA in prevalenza all'estero, egli si reca regolarmente a Lugano (fino a tre volte la settimana, per una durata da 2 a 4 ore) allo scopo di ricevere istruzioni e rendere conto della propria attività in Italia. Ciò posto, l'istruzione del collaboratore e la presentazione da parte di costui delle prestazioni svolte rientrano senz'altro nella nozione di "attività dipendente o indipendente che normalmente dà un guadagno" enunciata dall'art. 6 OLS. Il ricorrente contesta invero "quanto unilateralmente verbalizzato dal sgt. _________ _________ , il quale … ha di fatto anticipato abusivamente e arbitrariamente un giudizio" (ricorso, pag. 6 in alto, con riferimento al noto verbale d'interrogatorio, pag. 3). La critica non riguarda tuttavia le predette dichiarazioni dell'insorgente in merito allo svolgimento della sua attività, che vengono anzi riproposte nell'allegato ricorsuale, a pag. 4 in basso (cfr. anche pag. 5 in fondo).</w:t>
      </w:r>
    </w:p>
    <w:p>
      <w:r>
        <w:rPr>
          <w:b/>
        </w:rPr>
        <w:t>E. 7</w:t>
      </w:r>
    </w:p>
    <w:p>
      <w:r>
        <w:t>In simili circostanze questo giudice perviene al convincimento che il ricorrente abbia effettivamente infranto l'art. 3 cpv. 3 LDDS, il che giustifica la condanna inflittagli dal Dipartimento senza che sia necessario esperire le nuove prove richieste dall'interessato.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 cpv. 3, 23 cpv. 6 LDDS, 6 OLS e 1 segg. LPContr; pronuncia: 1.     Il ricorso è respinto e la decisione impugnata è confermata. 2.     La tassa di giustizia e le spese per complessivi fr. 300.–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_________ _________ , per il tramite dell'avv. _________ _________ , _________ ; – avv. _________ _________ , _________ ; – Sezione dei permessi e dell'immigrazione, _________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