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30.2002.8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https://mcp.opencaselaw.ch/entscheid/ti_gerichte_30.2002.8</w:t>
      </w:r>
    </w:p>
    <w:p>
      <w:r>
        <w:t>FR: TI_GERICHTE 30.2002.8 du 3 février 2003</w:t>
      </w:r>
    </w:p>
    <w:p>
      <w:r>
        <w:t>IT: TI_GERICHTE 30.2002.8 del 3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competenza del giudice della Pretura penale, la legittimazione attiva dell'insorgente e la tempestività dell'impugnativa sono date dall'art. 4 LPContr. Il ricorso è pertanto ricevibile e può essere giudicato sulla base degli atti.</w:t>
      </w:r>
    </w:p>
    <w:p>
      <w:r>
        <w:rPr>
          <w:b/>
        </w:rPr>
        <w:t>E. 2</w:t>
      </w:r>
    </w:p>
    <w:p>
      <w:r>
        <w:t>L'art. 93 cpv. 2 LCS prescrive che chiunque conduce un veicolo, di cui sa o dovrebbe sapere, prestando tutta l'attenzione richiesta dalle circostanze, che non è conforme alle prescrizioni, è punito con l'arresto o con la multa. La stessa pena è comminata al detentore. Giusta l'art. 29 LCS un automezzo deve essere messo in circolazione solo se si trova in perfetto stato ed è conforme alle prescrizioni di legge. In modo particolare esso deve essere atto a consentire il rispetto delle norme di circolazione, garantendo l'incolumità dei passeggeri e degli altri utenti della strada, nonché la preservazione del suolo stradale. Le prescrizioni relative all'equipaggiamento ed allo stato di un veicolo sono contenute nell'Ordinanza federale concernente le esigenze tecniche per i veicoli stradali (OETV). L'art. 4 cpv. 4 di detta normativa prevede che i vetri necessari alla visuale del conducente debbano essere perfettamente trasparenti.</w:t>
      </w:r>
    </w:p>
    <w:p>
      <w:r>
        <w:rPr>
          <w:b/>
        </w:rPr>
        <w:t>E. 3</w:t>
      </w:r>
    </w:p>
    <w:p>
      <w:r>
        <w:t>Intimazione a: Sezione della circolazione, ________ , ________ ________ , ________ , 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