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30.2002.6 vom 20. Januar 2003</w:t>
      </w:r>
    </w:p>
    <w:p>
      <w:r>
        <w:t>TI Tribunale d'appello, 2003-01-20, IT</w:t>
      </w:r>
    </w:p>
    <w:p>
      <w:r>
        <w:rPr>
          <w:b/>
        </w:rPr>
        <w:t xml:space="preserve">Quelle: </w:t>
      </w:r>
      <w:r>
        <w:t>https://mcp.opencaselaw.ch/entscheid/ti_gerichte_30.2002.6</w:t>
      </w:r>
    </w:p>
    <w:p>
      <w:r>
        <w:t>FR: TI_GERICHTE 30.2002.6 du 20 janvier 2003</w:t>
      </w:r>
    </w:p>
    <w:p>
      <w:r>
        <w:t>IT: TI_GERICHTE 30.2002.6 del 20 gennaio 2003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LPContr.</w:t>
      </w:r>
    </w:p>
    <w:p>
      <w:r>
        <w:t>2.     Il conducente che vuole cambiare la direzione di marcia, ad esempio per svoltare, sorpassare, mettersi in preselezione, passare da una corsia a un'altra, deve badare ai veicoli che giungono in senso inverso e a quelli che seguono (art. 34 cpv. 3 LCStr). La segnalazione non svincola il conducente dall'obbligo di usare la necessaria prudenza (art. 39 cpv. 2 LCStr). D'altra parte chi sorpassa deve avere speciale riguardo verso gli altri utenti della strada, in particolare verso coloro che vuole sorpassare (art. 35 cpv. 3 LCStr). Ad esempio è vietato sorpassare nelle curve senza visuale (art. 35 cpv. 4 LCStr). È altresì vietato sorpassare quando il conducente indica l'intenzione di voltare a sinistra (art. 35 cpv. 5 LCStr). Nel caso in cui un veicolo ha già iniziato la manovra di svolta, esso può essere sorpassato soltanto a destra (art. 35 cpv. 6 LCStr).</w:t>
      </w:r>
    </w:p>
    <w:p>
      <w:r>
        <w:t>3.     Secondo la sentenza pubblicata in DTF 125 IV 83, che ha operato un cambiamento di giurisprudenza, il conducente intenzionato a svoltare a sinistra e che si è posto correttamente verso l'asse della carreggiata ed ha azionato l'indicatore di direzione può di regola presumere - senza essere tenuto a prestare nuovamente attenzione al traffico che lo segue nel momento in cui svolta - che nessun utente della strada lo sorpasserà illecitamente sulla sinistra. In sostanza trattasi di un'applicazione del principio dell'affidamento (art. 26 cpv. 1 LCStr), secondo il quale il conducente che rispetta le normative vigenti in ambito stradale può attendersi che gli altri utenti della strada si comportino pure correttamente.</w:t>
      </w:r>
    </w:p>
    <w:p>
      <w:r>
        <w:t>4.     Nel caso di specie la ricorrente ha regolarmente effettuato la manovra di preselezione per poi svoltare a sinistra. Dopo aver - sebbene con un certo ritardo (4 ml. prima della svolta) - azionato l'indicatore di direzione, essa ha controllato, per mezzo dello specchietto retrovisore esterno il traffico sopraggiungente da tergo; si è quindi spostata a sinistra rallentando ulteriormente ed ha quindi iniziato la manovra di svolta. È stato in questo frangente che è avvenuta la collisione con la motoleggera che sopraggiungeva da tergo.</w:t>
      </w:r>
    </w:p>
    <w:p>
      <w:r>
        <w:t>Il dubbio, quanto all'effettivo azionamento dell'indicatore di direzione, deve profittare alla ricorrente, ritenuto che non sussistono in concreto riscontri oggettivi, atti a suffragare la divergente versione dell'altro protagonista.</w:t>
      </w:r>
    </w:p>
    <w:p>
      <w:r>
        <w:t>P.Q.M.                              visti gli art. 26 cpv. 1, 34, 35, 39 e 90 cifra 1 LCStr,  1 e seg. LPContr,</w:t>
      </w:r>
    </w:p>
    <w:p>
      <w:r>
        <w:t>pronuncia:              1.Il ricorso 5 giugno 2002 inoltrato da __________</w:t>
      </w:r>
    </w:p>
    <w:p>
      <w:r>
        <w:t>§  Di conseguenza la decisione n. __________/__________ del Dipartimento delle Istituzioni, Sezione della circolazione, Ufficio giuridico, del __________ __________è annullata.</w:t>
      </w:r>
    </w:p>
    <w:p>
      <w:r>
        <w:t>2.Non si prelevano tasse e spese, né vengono assegnate ripetibili.</w:t>
      </w:r>
    </w:p>
    <w:p>
      <w:r>
        <w:t>3.Intimazione:</w:t>
      </w:r>
    </w:p>
    <w:p>
      <w:r>
        <w:t>- avv. __________ __________, Via __________ __________, __________ __________, ____________________,</w:t>
      </w:r>
    </w:p>
    <w:p>
      <w:r>
        <w:t>- Dipartimento delle Istituzioni, Sezione della circolazione, Ufficio</w:t>
      </w:r>
    </w:p>
    <w:p>
      <w:r>
        <w:t>giuridico, ____________________.</w:t>
      </w:r>
    </w:p>
    <w:p>
      <w:r>
        <w:t>Il giudice:                                                                  Il segretario assessore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