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30.2002.34 vom 7. Mai 2003</w:t>
      </w:r>
    </w:p>
    <w:p>
      <w:r>
        <w:t>TI Tribunale d'appello, 2003-05-07, IT</w:t>
      </w:r>
    </w:p>
    <w:p>
      <w:r>
        <w:rPr>
          <w:b/>
        </w:rPr>
        <w:t xml:space="preserve">Quelle: </w:t>
      </w:r>
      <w:r>
        <w:t>https://mcp.opencaselaw.ch/entscheid/ti_gerichte_30.2002.34</w:t>
      </w:r>
    </w:p>
    <w:p>
      <w:r>
        <w:t>FR: TI_GERICHTE 30.2002.34 du 7 mai 2003</w:t>
      </w:r>
    </w:p>
    <w:p>
      <w:r>
        <w:t>IT: TI_GERICHTE 30.2002.34 del 7 maggio 2003</w:t>
      </w:r>
    </w:p>
    <w:p>
      <w:pPr>
        <w:pStyle w:val="Heading2"/>
      </w:pPr>
      <w:r>
        <w:t>Erwägungen</w:t>
      </w:r>
    </w:p>
    <w:p>
      <w:r>
        <w:rPr>
          <w:b/>
        </w:rPr>
        <w:t>E. 1</w:t>
      </w:r>
    </w:p>
    <w:p>
      <w:r>
        <w:t>e 19 cpv. 2 lett. a ONC (decisione impugnata, con riferimento al rapporto di contravvenzione allestito dalla polizia comunale di _______ il 20 luglio 2002); che l'insorgente ritiene invece la sanzione ingiustificata, giacché "la vettura caravan non era posteggiata ma concerneva scarico e carico", né "era di ostacolo e pericolo essendo la carreggiata di m. 4.50" e rimanendo uno "spazio di m. 2.90"; che le ragioni addotte dall'interessato non consentono tuttavia di discostarsi dalla decisione di primo grado, ove si consideri come gli art. 18 cpv. 1 e 19 cpv. 2 lett. a ONC non vietano solo il parcheggio ma anche la fermata , e ciò a prescindere dalla questione di sapere se il veicolo intralci o no la circolazione stradale; che dal fascicolo processuale non risulta altresì – né il ricorrente pretende – l'esistenza di una delle già citate deroghe sancite dall'art. 18 cpv. 1 ONC al divieto di fermata sul lato sinistro della strada; che il gravame, su questo punto, si rivela quindi sprovvisto di buon diritto; che, nondimeno, per la fermata o il parcheggio sul margine sinistro della strada in violazione degli art. 18 cpv. 1 e 19 cpv. 2 lett. a ONC, l'elenco allegato all'ordinanza concernente le multe disciplinari (RS _______ ) commina una sanzione pecuniaria di fr. 60.–; che, non ravvisandosi altre infrazioni dell'interessato alle norme evocate dalla Sezione della circolazione, la multa inflittagli dev'essere ridotta in tale misura; che il parziale accoglimento del ricorso giustifica di soprassedere al prelievo di oneri processuali dell'odierno giudizio; per questi motivi,                visti gli art. 37 cpv. 2 e 90 n. 1 LCS; 18 cpv. 1 e 19 cpv. 2 lett. a ONC, 1 segg. LPContr; pronuncia: 1.     Il ricorso è parzialmente accolto e la decisione impugnata è riformata nel senso che a _______ _______ è inflitta una multa di fr. 60.–, oltre a una tassa di giustizia di fr. 20.– e alle spese di fr. 10.–. 2.     Non si prelevano né tasse né spese dell'attuale giudizio. 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 4.     Intimazione a: _______ _______ , _______ ( _______ ), Sezione della circolazione, _______ .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