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30.2002.25 vom 13. September 2002</w:t>
      </w:r>
    </w:p>
    <w:p>
      <w:r>
        <w:t>TI Tribunale d'appello, 2002-09-13, IT</w:t>
      </w:r>
    </w:p>
    <w:p>
      <w:r>
        <w:rPr>
          <w:b/>
        </w:rPr>
        <w:t xml:space="preserve">Quelle: </w:t>
      </w:r>
      <w:r>
        <w:t>https://mcp.opencaselaw.ch/entscheid/ti_gerichte_30.2002.25</w:t>
      </w:r>
    </w:p>
    <w:p>
      <w:r>
        <w:t>FR: TI_GERICHTE 30.2002.25 du 13 septembre 2002</w:t>
      </w:r>
    </w:p>
    <w:p>
      <w:r>
        <w:t>IT: TI_GERICHTE 30.2002.25 del 13 settembre 2002</w:t>
      </w:r>
    </w:p>
    <w:p>
      <w:pPr>
        <w:pStyle w:val="Heading2"/>
      </w:pPr>
      <w:r>
        <w:t>Erwägungen</w:t>
      </w:r>
    </w:p>
    <w:p>
      <w:r>
        <w:rPr>
          <w:b/>
        </w:rPr>
        <w:t>E. 1</w:t>
      </w:r>
    </w:p>
    <w:p>
      <w:r>
        <w:t>A ________ ________ è inflitta una multa di fr. 250.–.</w:t>
      </w:r>
    </w:p>
    <w:p>
      <w:r>
        <w:rPr>
          <w:b/>
        </w:rPr>
        <w:t>E. 2</w:t>
      </w:r>
    </w:p>
    <w:p>
      <w:r>
        <w:t>La tassa di giustizia di fr. 100.– e le spese di fr. 30.– sono a carico di ________ ________. II.     Non si prelevano né tasse né spese dell'attuale giudizio. III.     Contro la presente sentenza può essere interposto ricorso per cassazione alla Corte di cassazione del Tribunale federale di Losanna. Il ricorso deve essere depositato presso il Tribunale federale conformemente all'art. 273 PP entro 30 giorni dalla notifica del testo integrale della decisione (art. 272 PP). IV.     Intimazione a: – ________ ________ , ________ ________ (_), – Sezione della circolazione, ________ . 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