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30.2002.15 vom 19. Juli 2002</w:t>
      </w:r>
    </w:p>
    <w:p>
      <w:r>
        <w:t>TI Tribunale d'appello, 2002-07-19, IT</w:t>
      </w:r>
    </w:p>
    <w:p>
      <w:r>
        <w:rPr>
          <w:b/>
        </w:rPr>
        <w:t xml:space="preserve">Quelle: </w:t>
      </w:r>
      <w:r>
        <w:t>https://mcp.opencaselaw.ch/entscheid/ti_gerichte_30.2002.15</w:t>
      </w:r>
    </w:p>
    <w:p>
      <w:r>
        <w:t>FR: TI_GERICHTE 30.2002.15 du 19 juillet 2002</w:t>
      </w:r>
    </w:p>
    <w:p>
      <w:r>
        <w:t>IT: TI_GERICHTE 30.2002.15 del 19 luglio 2002</w:t>
      </w:r>
    </w:p>
    <w:p>
      <w:pPr>
        <w:pStyle w:val="Heading2"/>
      </w:pPr>
      <w:r>
        <w:t>Erwägungen</w:t>
      </w:r>
    </w:p>
    <w:p>
      <w:r>
        <w:rPr>
          <w:b/>
        </w:rPr>
        <w:t>E. 2</w:t>
      </w:r>
    </w:p>
    <w:p>
      <w:r>
        <w:t>prima frase); che in caso di violazione del divieto affisso in loco l'avente diritto o il suo rappresentante, entro il termine perentorio di tre giorni dalla conoscenza del fatto, possono sporgere per iscritto querela contro il trasgressore all'autorità competente (art. 375ter cpv. 2 CPC); che la Sezione della circolazione ha sanzionato l'interessato, come detto, per avere "illecitamente fatto uso, allo scopo di posteggiare il veicolo __________, di un fondo privato debitamente segnalato con apposito avviso autorizzato dal competente giudice di pace" (cfr. la decisione impugnata); che l'insorgente non nega di aver commesso l'infrazione rimproveratagli, limitandosi a dichiarare che "avrei potuto saldare la contravvenzione e non badare all'accaduto, ma trovo senza senso come un cittadino con una semplice segnalazione ti possa 'disturbare' in questo modo" (ricorso, a metà); che l'argomentazione ricorsuale non consente tuttavia di discostarsi dalla decisione impugnata, ove solo si consideri come il diritto di un privato di avviare una procedura di contravvenzione per divieto di parcheggio sul proprio fondo è sancita dai predetti art. 375bis e 375ter CPC; che, in simili circostanze, il ricorso non può dunque trovare accoglimento, la multa inflitta essendo per altro proporzionata alla gravità dell'infrazione commessa, rettamente commisurata al grado di colpa e contenuta nei limiti concessi dalla legge; che il ricorso va pertanto respinto, seguito di tassa di giustizia e spese (art. 15 LPContr); per questi motivi,                visti gli art. 375bis e 375ter CPC; 1 segg. LPContr; pronuncia: 1.     Il ricorso è respinto e la decisione impugnata è confermata. 2.     La tassa di giustizia di fr. 50.– e le spese di fr. 50.– sono a carico del ricorrente. 3.     Intimazione a: – __________ __________, __________, – Sezione della circolazione, __________.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