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30.2002.14 vom 28. Juni 2002</w:t>
      </w:r>
    </w:p>
    <w:p>
      <w:r>
        <w:t>TI Tribunale d'appello, 2002-06-28, IT</w:t>
      </w:r>
    </w:p>
    <w:p>
      <w:r>
        <w:rPr>
          <w:b/>
        </w:rPr>
        <w:t xml:space="preserve">Quelle: </w:t>
      </w:r>
      <w:r>
        <w:t>https://mcp.opencaselaw.ch/entscheid/ti_gerichte_30.2002.14</w:t>
      </w:r>
    </w:p>
    <w:p>
      <w:r>
        <w:t>FR: TI_GERICHTE 30.2002.14 du 28 juin 2002</w:t>
      </w:r>
    </w:p>
    <w:p>
      <w:r>
        <w:t>IT: TI_GERICHTE 30.2002.14 del 28 giugno 2002</w:t>
      </w:r>
    </w:p>
    <w:p>
      <w:pPr>
        <w:pStyle w:val="Heading2"/>
      </w:pPr>
      <w:r>
        <w:t>Erwägungen</w:t>
      </w:r>
    </w:p>
    <w:p>
      <w:r>
        <w:rPr>
          <w:b/>
        </w:rPr>
        <w:t>E. 14</w:t>
      </w:r>
    </w:p>
    <w:p>
      <w:r>
        <w:t>marzo 2002 allegato al rapporto di polizia del 23 marzo 2002); che un secondo pedone, __________ __________, sentito anch'egli in qualità di testimone, ha confermato le circostanze descritte da __________ __________ (verbale dello stesso 14 marzo 2002, allegato al rapporto di polizia citato); che l'insorgente ritiene invero "d'essere vittima di un raggiro", adombrando che i testi non fossero presenti al momento dell'incidente e siano stati "chiamati solo successivamente" (ricorso, punto 2); che l'interessata chiede altresì di verificare la sua ipotesi attraverso "l'estrat­to delle telefonate in entrata e uscita del cellulare" dell'altra conducente coinvolta nell'infortunio; che nulla induce tuttavia a ritenere che i testi – ammoniti a dire la verità e resi attenti delle conseguenze penali previste dall'art. 307 CP in caso di falsa testimonianza – abbiano dichiarato il falso o che non fossero neppure presenti sul luogo dell'incidente; che siffatta argomentazione ricorsuale appare finanche poco seria, ove si consideri come la stessa insorgente, interrogata il 13 marzo 2002 dalla Polizia cantonale, ha sostenuto che il teste __________ "camminava su via della __________ proveniente da piazza fontana __________ " (verbale del 13 marzo 2002, pag. 2 in alto, allegato al rapporto di polizia citato); che, dato quanto precede, questo giudice perviene al convincimento che la ricorrente abbia effettivamente commesso le infrazioni addebitatele dalla Sezione della circolazione; che la multa inflitta è del resto proporzionata alla gravità dell'infrazione commessa, rettamente commisurata al grado di colpa e contenuta nei limiti fissati dalla legge; che il ricorso, infondato, deve pertanto essere respinto, seguito da tassa di giustizia e spese (art. 15 LPContr); per questi motivi,                visti gli art. 3, 27 cpv. 1, 36 cpv. 2, 90 n. 1 LCS; 14 cpv. 1 ONC; 68 cpv. 1 OSS; 1 segg. LPContr; pronuncia: 1.     Il ricorso è respinto e la decisione impugnata è confermata. 2.     La tassa di giustizia e le spese per complessivi fr. 300.– sono a carico della ricorrente. 3.     Contro la presente sentenza può essere interposto ricorso per cassazione alla Corte di cassazione del Tribunale federale di __________. Il ricorso deve essere depositato presso il Tribunale federale conformemente all'art. 273 PP entro 30 giorni dalla notifica del testo integrale della decisione (art. 272 PP). 4.     Intimazione a: – __________ __________, __________, – __________ -__________ Protezione giuridica, __________, – Sezione della circolazione, __________. Il giudice: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