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30.1999.2 vom 23. März 2000</w:t>
      </w:r>
    </w:p>
    <w:p>
      <w:r>
        <w:t>TI Tribunale d'appello, 2000-03-23, IT</w:t>
      </w:r>
    </w:p>
    <w:p>
      <w:r>
        <w:rPr>
          <w:b/>
        </w:rPr>
        <w:t xml:space="preserve">Quelle: </w:t>
      </w:r>
      <w:r>
        <w:t>https://mcp.opencaselaw.ch/entscheid/ti_gerichte_30.1999.2</w:t>
      </w:r>
    </w:p>
    <w:p>
      <w:r>
        <w:t>FR: TI_GERICHTE 30.1999.2 du 23 mars 2000</w:t>
      </w:r>
    </w:p>
    <w:p>
      <w:r>
        <w:t>IT: TI_GERICHTE 30.1999.2 del 23 marzo 2000</w:t>
      </w:r>
    </w:p>
    <w:p>
      <w:pPr>
        <w:pStyle w:val="Heading2"/>
      </w:pPr>
      <w:r>
        <w:t>Regeste</w:t>
      </w:r>
    </w:p>
    <w:p>
      <w:r>
        <w:t>Sentenza o decisione senza scheda</w:t>
      </w:r>
    </w:p>
    <w:p>
      <w:pPr>
        <w:pStyle w:val="Heading2"/>
      </w:pPr>
      <w:r>
        <w:t>Erwägungen</w:t>
      </w:r>
    </w:p>
    <w:p>
      <w:r>
        <w:rPr>
          <w:b/>
        </w:rPr>
        <w:t>E. 4</w:t>
      </w:r>
    </w:p>
    <w:p>
      <w:r>
        <w:t>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Il reddito da attività dipendente comprende in particolare i tantièmes, le indennità fisse e i gettoni di presenza versati ai membri dell'amministrazione di persone giuridiche (art. 7 lett. h OAVS). Per l'art.</w:t>
      </w:r>
    </w:p>
    <w:p>
      <w:r>
        <w:rPr>
          <w:b/>
        </w:rPr>
        <w:t>E. 9</w:t>
      </w:r>
    </w:p>
    <w:p>
      <w:r>
        <w:t>cpv. 1 LAVS il reddito proveniente da un'attività lucrativa indipendente "comprende qualsiasi reddito che non sia mercede a dipendenza d'altri".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Per poter decidere si dovrà vedere quali sono gli elementi predominanti nel caso concreto (DTF 122 V 283 consid. 2a, 119 V 162 consid. 2 con riferimenti). 2.4.   Secondo la giurisprudenza del TFA (ricapitolata in DTF 122 V 284 consid. 2b, 122 V 169)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Siamo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ss;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in caso di una cessazione di questo rapporto di lavoro, egli si trovi in una situazione simile a quella di un salariato che perde il suo impiego (DTF 119 V 163 = VSI 1993 pag. 226 consid. 3b). 2.5.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24 febbraio 1989 in re D. SA; STCA 3 ottobre 1991 in re A.B, cfr.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2.6.   Oggetto del contendere è innanzitutto sapere se le retribuzioni versate a __________ __________ sono da considerare come provento da attività lucrativa dipendente o indipendente. 2.6.1.   Riguardo al signor __________, dalla corrispondenza avuta con la Cassa cantonale di compensazione (CCC) si evince che egli è stato affiliato come indipendente dal 1° gennaio 1991 al 31 maggio 1998 (causa partenza nel Canton Zurigo) per l'attività in proprio di commercio degli immobili (scritto 28.10.1999 della CCC doc. VIII); dal 1 giugno 1996 anche per l'attività di consulente nel campo della ristorazione (scritto 22 10.1996 della CCC a __________ __________ in doc C 1 allegato al ricorso). Tali consulenze l'interessato le ha anche svolte per conto della ricorrente, mandato conferito il 13 giugno 1996 (doc. XIX trasmesso con lo scritto 24 febbraio 2000), emettendo due fatture di complessivi fr. 12'961,70 (doc. 14 e 15 allegati allo scritto 4 novembre 1999 della CCC, doc. X). Tuttavia, oggetto della ripresa sono i fr. 22'000.-- (fr. 23'542.-- rivalutati al lordo degli oneri sociali) che egli ha ricevuto dalla ricorrente quale retribuzione per la sua gerenza del __________ __________ __________ (dall'agosto 1996 a giugno 1997, cfr. conteggio in doc. A4 prodotto con il ricorso). Questo in conformità di quanto deciso durante la riunione del 25 luglio 1996 (doc. XIX allegato allo scritto 24 febbraio 2000). Sentito in merito alla posizione di __________ __________ durante il periodo di gerenza, all'interno della società, in sede di udienza dell'11 gennaio 2000, il rappresentante della ricorrente ha dichiarato quanto segue: " Per quanto riguarda la posizione del sig. __________, su domanda del giurista il sig. __________ risponde che l'interessato durante il periodo che ci concerne (agosto 1996 - giugno 1997) quale titolare di certificato di gerenza si occupava appunto della gerenza del Ristorante __________ __________. Per questa sua attività è stata concordata una remunerazione di fr. 2'000.-- al mese. Era lui che assumeva e licenziava il personale del ristorante. Tuttavia i contratti e le disdette venivano firmate dalla __________ SA. Il contratto di locazione dello stabile è stato parimenti concluso tra la __________ SA e la proprietaria (__________). L'inventario è anche di proprietà della __________ SA. Per ciò che concerne i pagamenti era il signor __________ che quindicinalmente presentava le fatture alla Fiduciaria __________ SA che provvedeva alla liquidazione delle stesse in nome e per conto della __________ SA. Il rischio di incasso  e di delcredere era anche di spettanza della __________ SA. Tuttavia il signor __________ avverrebbe potuto rispondere di tasca propria in casi di mancato incasso dovuto a sua negligenza.  Mi impegno di trasmettere al TCA entro</w:t>
      </w:r>
    </w:p>
    <w:p>
      <w:r>
        <w:rPr>
          <w:b/>
        </w:rPr>
        <w:t>E. 10</w:t>
      </w:r>
    </w:p>
    <w:p>
      <w:r>
        <w:t>giorni copia del contratto di gerenza." Orbene, dalla deposizione riportata sopra si evince chiaramente che l'attività di gerenza svolta dal signor __________ è di natura dipendente. Infatti, egli non ha effettuato alcun investimento (l'inventario era della __________ SA), non ha avuto alcun rischio imprenditoriale ( era la __________ SA che provvedeva ai pagamenti, che sopportava il rischio di incasso e delcredere e che ha firmato il contratto di locazione). Inoltre Otto __________ ha sempre agito per nome e per conto della società ricorrente. La circostanza che l'interessato dovesse rispondere per le inadempienze dovute a sua negligenza rientra comunque nell'obbligo del salariato di eseguire il proprio lavoro con la dovuta diligenza e fedeltà (cfr. art. 321 a CO). Infine, la circostanza che egli sia stato tassato come indipendente non è rilevante, poiché la qualifica di un reddito da parte del fisco non è vincolante per le casse di compensazione e per il giudice delle assicurazioni sociali (DTF 122 V 289 consid. 5d; 114 V 75 consid. 2). Ciononostante, al fine di evitare una doppia imposizione contributiva, la Cassa dovrà esaminare se il salario ripreso non è stato inglobato nel reddito aziendale oggetto di un’eventuale decisione di contribuzione per i contributi da indipendente AVS (sulla percezione dei contributi AVS degli indipendenti cfr. art. 22 OAVS ss) e se ciò fosse il caso, l’amministrazione dovrà restituire i contributi da indipendente non dovuti (art. 14 cpv. 4 lett. c LAVS in relazione all'art. 41 OAVS). 2.6.2.   Per quel che concerne la seconda posta contestata, con la presa di posizione del 16 novembre 1999, la ricorrente ha prodotto una fattura di contributi personali dovuti dalla signora __________ (doc. F). Al riguardo, durante l'udienza dell'11 gennaio 2000 il responsabile della Cassa ha precisato che: " Adr il signor __________ rileva che la signora __________ dal 1993 è affiliata insieme al marito presso la __________ in qualità di indipendente per la gestione del ristorante Ristorante __________ a __________. Al riguardo produce la conferma di affiliazione e la richiesta di acconto per contributi paritetici in quanto i coniugi Unternäher sono anche datori di lavoro."; mentre la ricorrente ha rilevato che: " Per ciò che concerne la signora __________ il sig. __________ conferma che anch'essa è stata gerente del Ristorante __________, prima del signor __________. Pertanto quanto riportato per il signor __________ vale anche per l'interessata." Pertanto, la ripresa effettuata dalla Cassa concerne unicamente le prestazioni ricevute per la gestione del Ristorante __________ Stazione __________ devono essere qualificate di natura dipendente, questo in analogia a quanto è stato riportato per __________ __________. Anche in questo caso, la Cassa è tenuta ad esaminare un'eventuale doppia imposizione di contributi. 2.6.3.   Infine, riguardo alla terza posizione, durante l'udienza dell'11 gennaio 2000 è risultato che: " Per quanto concerne la posizione della signora __________ il signor __________ ribadisce che il salario di fr. 1'202,35 è stato notificato nel 1994 ma versato, a seguito di una controversia giudiziaria, solo nel 1996 al quale sono stati aggiunti fr. 225,35 di spese di mora ed interessi sostenuti dalla dipendente. Preso atto di quanto detto sopra il signor __________ dichiara di annullare la ripresa di fr. 1'528.-- fatta durante la revisione." Dal momento che effettivamente il salario è stato notificato nel 1994 (doc. D1 allegato al ricorso), sul quale sono stati calcolati i contributi paritetici, anche se versato solo nel 1996 (doc. D2), la ripresa deve essere pertanto annullata (cfr. DTF 110 V 225). In conclusione, visto quanto detto sopra, dalla massa salariale del 1997 ripresa deve essere dedotto il salario della signora __________ __________, mentre per il resto la decisione contestata è da confermare. La Cassa pertanto dovrà versare alla ricorrente, patrocinata da un fiduciario, fr. 80.--, anche in difetto di una esplicita richiesta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