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20.2004.66 vom 26. Januar 2004</w:t>
      </w:r>
    </w:p>
    <w:p>
      <w:r>
        <w:t>TI Tribunale d'appello, 2004-01-26, IT</w:t>
      </w:r>
    </w:p>
    <w:p>
      <w:r>
        <w:rPr>
          <w:b/>
        </w:rPr>
        <w:t xml:space="preserve">Quelle: </w:t>
      </w:r>
      <w:r>
        <w:t>https://mcp.opencaselaw.ch/entscheid/ti_gerichte_20.2004.66</w:t>
      </w:r>
    </w:p>
    <w:p>
      <w:r>
        <w:t>FR: TI_GERICHTE 20.2004.66 du 26 janvier 2004</w:t>
      </w:r>
    </w:p>
    <w:p>
      <w:r>
        <w:t>IT: TI_GERICHTE 20.2004.66 del 26 gennaio 2004</w:t>
      </w:r>
    </w:p>
    <w:p>
      <w:pPr>
        <w:pStyle w:val="Heading2"/>
      </w:pPr>
      <w:r>
        <w:t>Volltext</w:t>
      </w:r>
    </w:p>
    <w:p>
      <w:r>
        <w:t>Incarto n.20.2004.66</w:t>
      </w:r>
    </w:p>
    <w:p>
      <w:r>
        <w:t>DA 890/2003</w:t>
      </w:r>
    </w:p>
    <w:p>
      <w:r>
        <w:t>Bellinzona</w:t>
      </w:r>
    </w:p>
    <w:p>
      <w:r>
        <w:t>26 gennaio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___________________, _________</w:t>
      </w:r>
    </w:p>
    <w:p>
      <w:r>
        <w:t>per i reati didanneggiamento, conseguimento fraudolento di una prestazione di poca entità</w:t>
      </w:r>
    </w:p>
    <w:p>
      <w:r>
        <w:t>reati previsti dagli art. 144 cpv. 1 CP, art. 150-172ter CP</w:t>
      </w:r>
    </w:p>
    <w:p>
      <w:r>
        <w:t>ed ora                               per statuire sullistanza 19 gennaio 2004 con la quale _________ _________ chiede di poter ottenere una rateazione del pagamento di fr. 510.--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510.-- pari alla multa, tassa di giustizia e spese giudiziarie, inflitta con DA ____/_____ del _________ 2003,in 5rate mensili, la prima volta entro il 29 febbraio 2004.</w:t>
      </w:r>
    </w:p>
    <w:p>
      <w:r>
        <w:t>2.Intimazione:</w:t>
      </w:r>
    </w:p>
    <w:p>
      <w:r>
        <w:t>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