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20.2004.25 vom 16. März 2007</w:t>
      </w:r>
    </w:p>
    <w:p>
      <w:r>
        <w:t>TI Tribunale d'appello, 2007-03-16, IT</w:t>
      </w:r>
    </w:p>
    <w:p>
      <w:r>
        <w:rPr>
          <w:b/>
        </w:rPr>
        <w:t xml:space="preserve">Quelle: </w:t>
      </w:r>
      <w:r>
        <w:t>https://mcp.opencaselaw.ch/entscheid/ti_gerichte_20.2004.25</w:t>
      </w:r>
    </w:p>
    <w:p>
      <w:r>
        <w:t>FR: TI_GERICHTE 20.2004.25 du 16 mars 2007</w:t>
      </w:r>
    </w:p>
    <w:p>
      <w:r>
        <w:t>IT: TI_GERICHTE 20.2004.25 del 16 marzo 2007</w:t>
      </w:r>
    </w:p>
    <w:p>
      <w:pPr>
        <w:pStyle w:val="Heading2"/>
      </w:pPr>
      <w:r>
        <w:t>Erwägungen</w:t>
      </w:r>
    </w:p>
    <w:p>
      <w:r>
        <w:rPr>
          <w:b/>
        </w:rPr>
        <w:t>E. 16</w:t>
      </w:r>
    </w:p>
    <w:p>
      <w:r>
        <w:t>marzo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ing.Giorgio Caprara</w:t>
      </w:r>
    </w:p>
    <w:p>
      <w:r>
        <w:t>segretario giudiziario</w:t>
      </w:r>
    </w:p>
    <w:p>
      <w:r>
        <w:t>Enzo Barenco</w:t>
      </w:r>
    </w:p>
    <w:p>
      <w:r>
        <w:t>statuendo nella procedura di approvazione dei progetti definitivi e di espropriazione promossa da</w:t>
      </w:r>
    </w:p>
    <w:p>
      <w:r>
        <w:t>ISEP 1</w:t>
      </w:r>
    </w:p>
    <w:p>
      <w:r>
        <w:t>rappr. dal Municipio</w:t>
      </w:r>
    </w:p>
    <w:p>
      <w:r>
        <w:t>contro</w:t>
      </w:r>
    </w:p>
    <w:p>
      <w:r>
        <w:t>COCC 5composta da</w:t>
      </w:r>
    </w:p>
    <w:p>
      <w:r>
        <w:t>MCON 11</w:t>
      </w:r>
    </w:p>
    <w:p>
      <w:r>
        <w:t>MCON 12</w:t>
      </w:r>
    </w:p>
    <w:p>
      <w:r>
        <w:t>MCON 13</w:t>
      </w:r>
    </w:p>
    <w:p>
      <w:r>
        <w:t>MCON 14</w:t>
      </w:r>
    </w:p>
    <w:p>
      <w:r>
        <w:t>MCON 15</w:t>
      </w:r>
    </w:p>
    <w:p>
      <w:r>
        <w:t>nell'ambito delle opere di riassetto urbano in Via __________:a) lotto 1 __________b) lotto 2 __________</w:t>
      </w:r>
    </w:p>
    <w:p>
      <w:r>
        <w:t>relativamente al mapp. no. 600 RFD di __________</w:t>
      </w:r>
    </w:p>
    <w:p>
      <w:r>
        <w:t>letti ed esaminati gli atti, udite le parti ed assunte le necessarie prove,</w:t>
      </w:r>
    </w:p>
    <w:p>
      <w:r>
        <w:t>considerato,in fatto ed in diritto</w:t>
      </w:r>
    </w:p>
    <w:p>
      <w:r>
        <w:t>1.1.1. Il Comune di __________ è promotore delle opere di riassetto urbano in Via Centro Sportivo che, stando al progetto, si suddividono in due tratti e si estendono complessivamente tra il __________ ed il raccordo con Via __________. Lintervento comporta espropriazioni varie consistenti, in parte, nel riscatto di superfici che già da tempo sono adibite a strada ma la cui cessione al Comune non è mai stata formalizzata.Il Consiglio Comunale ha approvato il progetto, stanziato il credito ed avallato il prelievo di contributi di miglioria nellordine del 30% della spesa con risoluzione del 2.6.2003 (MM 987 e 988 del 3.2.2003).Il progetto e gli atti di espropriazione sono stati pubblicati dal 19.1 al 18.2.2004.1.2. La messa in atto del progetto coinvolge, tra le altre, anche la part. no. 600 espropriata lungo il fronte stradale per mq 36 contro versamento di unindennità di fr. 450.- il mq.Con memoria 14.2.2004 gli espropriati MCON 15 e MCON 14 hanno sollecitato unindennità per il terreno espropriato di fr. 580.- il mq ed un risarcimento complessivo di fr. 131'400.- per la soppressione di 9 posteggi.Alludienza di conciliazione del 27.5.2004 le suddette pretese sono state confermate e lanticipata immissione in possesso accordata dal 1°.10.2004.Il Tribunale di espropriazione ha approvato il progetto con sentenza del 15.7.2004.</w:t>
      </w:r>
    </w:p>
    <w:p>
      <w:r>
        <w:t>2.Il mapp. no. 600, ubicato in località __________, è così censito a RF:sub. b) piazzale                mq     326sub. d) giardino                 mq     170sub. A) magazzino            mq     149sub. C) abitazione             mq     232totale                                 mq     877Il fondo è piano, di conformazione rettangolare ed ospita uno stabile a contenuti abitativi, commerciali ed artigianali.Stando al PR la particella è assegnata alla zona residenziale semi-intensiva RSE.</w:t>
      </w:r>
    </w:p>
    <w:p>
      <w:r>
        <w:t>3.3.1.Lespropriazione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27).In questottica le punte estreme  ossia i prezzi di gran lunga al di sotto o al di sopra della media stipulati in un contratto isolato  ed i prezzi pertinenti a terreni già edificati non hanno valenza decisiva ai fini dellestimo (Hess/Weibel, op. cit., ad art. 19 no. 87 e 89).3.2. Lestimo si fonda sui valori ufficiali riferibili alle transazioni immobiliari stipulate negli anni immediatamente precedenti lanticipata immissione in possesso  che in concreto è stata accordata dal 1°.10.2004 (art.</w:t>
      </w:r>
    </w:p>
    <w:p>
      <w:r>
        <w:rPr>
          <w:b/>
        </w:rPr>
        <w:t>E. 19</w:t>
      </w:r>
    </w:p>
    <w:p>
      <w:r>
        <w:t>no. 192; Zbl 1972 368 ss). Trattandosi di unindennità aggiuntiva, può essere rifuso soltanto il pregiudizio che non è già coperto dallindennizzo al pieno valore venale della superficie espropriata altrimenti si attuerebbe un indebito cumulo di indennizzi (ZR 1967 1 ss). Perciò il danno è calcolato detraendo dal valore di locazione capitalizzato del posteggio il valore venale del sedime espropriato: oggetto di risarcimento è la differenza che ne risulta purché sia positiva (RDAT II-1996 no. 44).In sede di sopralluogo è stato accertato che prima dellespropriazione la proprietà disponeva di 9 posti auto perpendicolari alla strada (cfr. verbale 27.5.2004; doc. fotografica prodotta dagli espropriati). Lespropriazione coinvolge il fronte stradale del mappale riducendo la profondità dello spazio disponibile ma non precluderà del tutto la possibilità di parcheggiare: considerate le dimensioni conformi di un posteggio longitudinale (2.50 x 6.30), larea rimanente si adatta al posteggio di 2 veicoli parallelamente alla strada. In definitiva i posteggi persi sono dunque 7 ed in queste condizioni un risarcimento non può essere negato.Per la valutazione del danno si considera, a posteggio, un canone locativo mensile conseguibile in zona stimato per apprezzamento in fr. 70.-, pari a fr. 840.- annui, ed un tasso di capitalizzazione del 5.5% (TRAM 21.11.2005 N. 50.2005.7). Ne risulta un canone locativo capitalizzato di fr. 15'272.- che per 7 posteggi corrisponde a fr. 106'904.-. Una volta dedotto il valore della superficie espropriata di fr. 18'000.- (mq 36 x fr. 500.-), lindennità che si ottiene per il sacrificio di 7 posteggi ammonta a fr. 88'904.- (fr. 106904  fr. 18'000.-).</w:t>
      </w:r>
    </w:p>
    <w:p>
      <w:r>
        <w:t>5.Le indennità espropriative sono completate con gli interessi al saggio usuale del 3.5% fissato dal Tribunale federale e decorrono dal 1°.10.2004, data a far tempo dalla quale è stata accordata lanticipata immissione in possesso (art. 52 cpv. 3 Lespr.).</w:t>
      </w:r>
    </w:p>
    <w:p>
      <w:r>
        <w:t>6.Gli espropriati non si sono avvalsi della consulenza di un legale e pertanto non si assegnano ripetibili.</w:t>
      </w:r>
    </w:p>
    <w:p>
      <w:r>
        <w:t>Per i quali motivi</w:t>
      </w:r>
    </w:p>
    <w:p>
      <w:r>
        <w:t>richiamata                       la Legge di espropriazione dell8 marzo 1971,</w:t>
      </w:r>
    </w:p>
    <w:p>
      <w:r>
        <w:t>dichiara</w:t>
      </w:r>
    </w:p>
    <w:p>
      <w:r>
        <w:t>e pronuncia:1.     Lente espropriante verserà agli espropriati le seguenti indennità:1.1. fr. 500.- il mq per lespropriazione di mq 36 del mapp. no. 6001.2. fr. 88'904.- a corpo per la soppressione di 7 posteggi</w:t>
      </w:r>
    </w:p>
    <w:p>
      <w:r>
        <w:t>2.     Sulle indennità espropriative è dovuto un interesse al saggio usuale del 3.5% dal 1°.10.2004.</w:t>
      </w:r>
    </w:p>
    <w:p>
      <w:r>
        <w:t>3.     La tassa di giustizia e le spese in fr. 400.- sono a carico dellente espropriante. Non si assegnano ripetibili.</w:t>
      </w:r>
    </w:p>
    <w:p>
      <w:r>
        <w:t>4.     Contro la presente decisione è data facoltà di ricorso al Tribunale cantonale amministrativo, Lugano, nel termine di trenta giorni dallintimazione.</w:t>
      </w:r>
    </w:p>
    <w:p>
      <w:r>
        <w:t>5.     Intimazione a:- RA 1</w:t>
      </w:r>
    </w:p>
    <w:p>
      <w:r>
        <w:t>- MCON 11</w:t>
      </w:r>
    </w:p>
    <w:p>
      <w:r>
        <w:t>- MCON 12</w:t>
      </w:r>
    </w:p>
    <w:p>
      <w:r>
        <w:t>- MCON 13</w:t>
      </w:r>
    </w:p>
    <w:p>
      <w:r>
        <w:t>- MCON 14</w:t>
      </w:r>
    </w:p>
    <w:p>
      <w:r>
        <w:t>- MCON 14</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