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https://mcp.opencaselaw.ch/entscheid/ti_gerichte_20.2003.9</w:t>
      </w:r>
    </w:p>
    <w:p>
      <w:r>
        <w:t>FR: TI_GERICHTE 20.2003.9 du 23 janvier 2003</w:t>
      </w:r>
    </w:p>
    <w:p>
      <w:r>
        <w:t>IT: TI_GERICHTE 20.2003.9 del 23 gennaio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Ministero Pubblico</w:t>
      </w:r>
    </w:p>
    <w:p>
      <w:r>
        <w:t>Viale S. Franscini 3</w:t>
      </w:r>
    </w:p>
    <w:p>
      <w:r>
        <w:t>6501 Bellinzona</w:t>
      </w:r>
    </w:p>
    <w:p>
      <w:r>
        <w:t>Incarto n.20.2003.9/KRM/mai</w:t>
      </w:r>
    </w:p>
    <w:p>
      <w:r>
        <w:t>DAP 1154/1999</w:t>
      </w:r>
    </w:p>
    <w:p>
      <w:r>
        <w:t>Vs. riferimento</w:t>
      </w:r>
    </w:p>
    <w:p>
      <w:r>
        <w:t>Bellinzona23 gennaio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 ______________________________, __________.__________.__________, di __________ __________ e __________ n. __________, nato a __________, Spagna, domiciliato a __________, Via __________, divorziato, __________</w:t>
      </w:r>
    </w:p>
    <w:p>
      <w:r>
        <w:t>rilevato                             che il ____________________ 2002 il condannato è deceduto</w:t>
      </w:r>
    </w:p>
    <w:p>
      <w:r>
        <w:t>decreta:1.La procedura di commutazione della multa in arresto è stralciata dai ruoli.</w:t>
      </w:r>
    </w:p>
    <w:p>
      <w:r>
        <w:t>2.La citazione 20 gennaio 2003 è annullata.</w:t>
      </w:r>
    </w:p>
    <w:p>
      <w:r>
        <w:t>3.Intimazione:</w:t>
      </w:r>
    </w:p>
    <w:p>
      <w:r>
        <w:t>- Ministero pubblico, Bellinzona</w:t>
      </w:r>
    </w:p>
    <w:p>
      <w:r>
        <w:t>- Sezione esecuzione pene e misure, Taverne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