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20.2003.683 vom 28. Oktober 2003</w:t>
      </w:r>
    </w:p>
    <w:p>
      <w:r>
        <w:t>TI Tribunale d'appello, 2003-10-28, IT</w:t>
      </w:r>
    </w:p>
    <w:p>
      <w:r>
        <w:rPr>
          <w:b/>
        </w:rPr>
        <w:t xml:space="preserve">Quelle: </w:t>
      </w:r>
      <w:r>
        <w:t>https://mcp.opencaselaw.ch/entscheid/ti_gerichte_20.2003.683</w:t>
      </w:r>
    </w:p>
    <w:p>
      <w:r>
        <w:t>FR: TI_GERICHTE 20.2003.683 du 28 octobre 2003</w:t>
      </w:r>
    </w:p>
    <w:p>
      <w:r>
        <w:t>IT: TI_GERICHTE 20.2003.683 del 28 ottobre 2003</w:t>
      </w:r>
    </w:p>
    <w:p>
      <w:pPr>
        <w:pStyle w:val="Heading2"/>
      </w:pPr>
      <w:r>
        <w:t>Volltext</w:t>
      </w:r>
    </w:p>
    <w:p>
      <w:r>
        <w:t>Incarto n.20.2003.683</w:t>
      </w:r>
    </w:p>
    <w:p>
      <w:r>
        <w:t>DAP 145/2002</w:t>
      </w:r>
    </w:p>
    <w:p>
      <w:r>
        <w:t>Bellinzona</w:t>
      </w:r>
    </w:p>
    <w:p>
      <w:r>
        <w:t>28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__________.1960, di __________ e __________ n. __________, nato a __________, attinente di __________ /__________, già domiciliato a __________, Via __________, ora d'ignota dimora, coniugato, lattoniere-carpentiere</w:t>
      </w:r>
    </w:p>
    <w:p>
      <w:r>
        <w:t>richiamato                         il decreto DAP __________/__________ del __________ 2002, mediante il quale gli è stata inflitta una multa di fr. 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500.-- inflitta a__________, __________.1960, di __________ e __________ n. __________, nato a __________, attinente di __________, già domiciliato a __________, Via __________ __________, ora d'ignota dimora, coniugato, lattoniere-carpentiere con decreto numero DAP __________/__________ di data __________ __________ 2002,è commutata in 16giorni di arresto.</w:t>
      </w:r>
    </w:p>
    <w:p>
      <w:r>
        <w:t>2.Intimazione a:</w:t>
      </w:r>
    </w:p>
    <w:p>
      <w:r>
        <w:t>__________, nelle vie edittali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