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20.2003.579 vom 15. September 2003</w:t>
      </w:r>
    </w:p>
    <w:p>
      <w:r>
        <w:t>TI Tribunale d'appello, 2003-09-15, IT</w:t>
      </w:r>
    </w:p>
    <w:p>
      <w:r>
        <w:rPr>
          <w:b/>
        </w:rPr>
        <w:t xml:space="preserve">Quelle: </w:t>
      </w:r>
      <w:r>
        <w:t>https://mcp.opencaselaw.ch/entscheid/ti_gerichte_20.2003.579</w:t>
      </w:r>
    </w:p>
    <w:p>
      <w:r>
        <w:t>FR: TI_GERICHTE 20.2003.579 du 15 septembre 2003</w:t>
      </w:r>
    </w:p>
    <w:p>
      <w:r>
        <w:t>IT: TI_GERICHTE 20.2003.579 del 15 settembre 2003</w:t>
      </w:r>
    </w:p>
    <w:p>
      <w:pPr>
        <w:pStyle w:val="Heading2"/>
      </w:pPr>
      <w:r>
        <w:t>Volltext</w:t>
      </w:r>
    </w:p>
    <w:p>
      <w:r>
        <w:t>Incarto n.20.2003.579</w:t>
      </w:r>
    </w:p>
    <w:p>
      <w:r>
        <w:t>DA 1827/2003</w:t>
      </w:r>
    </w:p>
    <w:p>
      <w:r>
        <w:t>Bellinzona</w:t>
      </w:r>
    </w:p>
    <w:p>
      <w:r>
        <w:t>15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__________.1973, di __________ n. __________, nato a __________ /__________, attinente di __________ /__________, domiciliato a __________, Via __________ __________, celibe, magazziniere</w:t>
      </w:r>
    </w:p>
    <w:p>
      <w:r>
        <w:t>per il reato diinfrazione alle norme della circolazione, circolazione in stato di ebrietà, inosservanza dei doveri in caso d'infortunio, circolazione senza licenza di condurre</w:t>
      </w:r>
    </w:p>
    <w:p>
      <w:r>
        <w:t>reati previsti dagli art. 90 Cifra 1 LCS, art. 91 cpv. 1 LCS, art. 92 cpv. 1 LCS, art. 95 Cifra 1 LCS</w:t>
      </w:r>
    </w:p>
    <w:p>
      <w:r>
        <w:t>ed ora                               per statuire sullistanza 9 settembre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somma di fr. 1'700.-- pari alla multa, tassa di giustizia e spese giudiziarie, inflitta con DA __________/__________del __________ 2003,in 12rate mensili, la prima volta entro il 31 ottobre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