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20.2003.568 vom 6. Mai 2002</w:t>
      </w:r>
    </w:p>
    <w:p>
      <w:r>
        <w:t>TI Tribunale d'appello, 2002-05-06, IT</w:t>
      </w:r>
    </w:p>
    <w:p>
      <w:r>
        <w:rPr>
          <w:b/>
        </w:rPr>
        <w:t xml:space="preserve">Quelle: </w:t>
      </w:r>
      <w:r>
        <w:t>https://mcp.opencaselaw.ch/entscheid/ti_gerichte_20.2003.568</w:t>
      </w:r>
    </w:p>
    <w:p>
      <w:r>
        <w:t>FR: TI_GERICHTE 20.2003.568 du 6 mai 2002</w:t>
      </w:r>
    </w:p>
    <w:p>
      <w:r>
        <w:t>IT: TI_GERICHTE 20.2003.568 del 6 maggio 2002</w:t>
      </w:r>
    </w:p>
    <w:p>
      <w:pPr>
        <w:pStyle w:val="Heading2"/>
      </w:pPr>
      <w:r>
        <w:t>Volltext</w:t>
      </w:r>
    </w:p>
    <w:p>
      <w:r>
        <w:t>Incarto n.20.2003.568</w:t>
      </w:r>
    </w:p>
    <w:p>
      <w:r>
        <w:t>Bellinzona</w:t>
      </w:r>
    </w:p>
    <w:p>
      <w:r>
        <w:t>3 ottobre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__________.1959, fu __________ e __________ n. __________, nato a __________ /__________, attinente di __________ -__________ /__________, domiciliato a __________, Via __________, divorziato, invalido</w:t>
      </w:r>
    </w:p>
    <w:p>
      <w:r>
        <w:t>richiamato                         il decreto del 6 maggio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30 settembre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Pretura del Distretto di ____________________, di commutazione della multa in arresto èaccolta.</w:t>
      </w:r>
    </w:p>
    <w:p>
      <w:r>
        <w:t>Di conseguenza la multa di fr. 300.-- inflitta a____________________, __________.1959, fu __________ e __________ n. __________, nato a __________ /__________, attinente di __________ -__________ /__________, domiciliato a __________, Via __________ __________ __________, divorziato, invalido con decreto numero di data 6 maggio 2002,è commutata in 10giorni di arresto.</w:t>
      </w:r>
    </w:p>
    <w:p>
      <w:r>
        <w:t>2.Intimazione a:</w:t>
      </w:r>
    </w:p>
    <w:p>
      <w:r>
        <w:t>__________ , Via __________ __________, __________,</w:t>
      </w:r>
    </w:p>
    <w:p>
      <w:r>
        <w:t>Pretura del Distretto di __________, Via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