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20.2003.526 vom 18. August 2003</w:t>
      </w:r>
    </w:p>
    <w:p>
      <w:r>
        <w:t>TI Tribunale d'appello, 2003-08-18, IT</w:t>
      </w:r>
    </w:p>
    <w:p>
      <w:r>
        <w:rPr>
          <w:b/>
        </w:rPr>
        <w:t xml:space="preserve">Quelle: </w:t>
      </w:r>
      <w:r>
        <w:t>https://mcp.opencaselaw.ch/entscheid/ti_gerichte_20.2003.526</w:t>
      </w:r>
    </w:p>
    <w:p>
      <w:r>
        <w:t>FR: TI_GERICHTE 20.2003.526 du 18 août 2003</w:t>
      </w:r>
    </w:p>
    <w:p>
      <w:r>
        <w:t>IT: TI_GERICHTE 20.2003.526 del 18 agosto 2003</w:t>
      </w:r>
    </w:p>
    <w:p>
      <w:pPr>
        <w:pStyle w:val="Heading2"/>
      </w:pPr>
      <w:r>
        <w:t>Volltext</w:t>
      </w:r>
    </w:p>
    <w:p>
      <w:r>
        <w:t>Incarto n.20.2003.526</w:t>
      </w:r>
    </w:p>
    <w:p>
      <w:r>
        <w:t>DA 1860/2003</w:t>
      </w:r>
    </w:p>
    <w:p>
      <w:r>
        <w:t>Bellinzona</w:t>
      </w:r>
    </w:p>
    <w:p>
      <w:r>
        <w:t>18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nato a __________, cittadino italiano, domiciliato a __________, Via __________ __________, coniugato, __________</w:t>
      </w:r>
    </w:p>
    <w:p>
      <w:r>
        <w:t>per il reato dilesioni colpose</w:t>
      </w:r>
    </w:p>
    <w:p>
      <w:r>
        <w:t>reato previsto dall'art. 125 cpv. 1 CP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      lart. 347 CPP,</w:t>
      </w:r>
    </w:p>
    <w:p>
      <w:r>
        <w:t>decreta:1.In accoglimento dellistanza è concesso il pagamento della somma di fr. 300.-- pari alla multa, tassa di giustizia e spese giudiziarie, inflitta con DA __________/__________del ____________________ 2003,in 6rate mensili, la prima volta entro il ____________________ 2003.</w:t>
      </w:r>
    </w:p>
    <w:p>
      <w:r>
        <w:t>2.Intimazione a:</w:t>
      </w:r>
    </w:p>
    <w:p>
      <w:r>
        <w:t>Ministero Pubblico, Viale S. Franscini 3, Bellinzona,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