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20.2003.350 vom 13. Mai 2003</w:t>
      </w:r>
    </w:p>
    <w:p>
      <w:r>
        <w:t>TI Tribunale d'appello, 2003-05-13, IT</w:t>
      </w:r>
    </w:p>
    <w:p>
      <w:r>
        <w:rPr>
          <w:b/>
        </w:rPr>
        <w:t xml:space="preserve">Quelle: </w:t>
      </w:r>
      <w:r>
        <w:t>https://mcp.opencaselaw.ch/entscheid/ti_gerichte_20.2003.350</w:t>
      </w:r>
    </w:p>
    <w:p>
      <w:r>
        <w:t>FR: TI_GERICHTE 20.2003.350 du 13 mai 2003</w:t>
      </w:r>
    </w:p>
    <w:p>
      <w:r>
        <w:t>IT: TI_GERICHTE 20.2003.350 del 13 maggio 2003</w:t>
      </w:r>
    </w:p>
    <w:p>
      <w:pPr>
        <w:pStyle w:val="Heading2"/>
      </w:pPr>
      <w:r>
        <w:t>Volltext</w:t>
      </w:r>
    </w:p>
    <w:p>
      <w:r>
        <w:t>Incarto n.20.2003.350</w:t>
      </w:r>
    </w:p>
    <w:p>
      <w:r>
        <w:t>DAP 1373/2002</w:t>
      </w:r>
    </w:p>
    <w:p>
      <w:r>
        <w:t>Bellinzona</w:t>
      </w:r>
    </w:p>
    <w:p>
      <w:r>
        <w:t>13 maggio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nei confronti di</w:t>
      </w:r>
    </w:p>
    <w:p>
      <w:r>
        <w:t>____________________, __________.1970, fu __________ e __________ n. __________, nato a __________ /__________, cittadino italiano, domiciliato a __________, Via __________ __________, celibe, assistente di cura</w:t>
      </w:r>
    </w:p>
    <w:p>
      <w:r>
        <w:t>per il reato dicircolazione malgrado il rifiuto o la revoca della licenza di condurre</w:t>
      </w:r>
    </w:p>
    <w:p>
      <w:r>
        <w:t>reato previsto dall'art. 95 Cifra 2 LCS</w:t>
      </w:r>
    </w:p>
    <w:p>
      <w:r>
        <w:t>ed ora                               per statuire sullistanza 9 maggio 2003 con la quale __________ __________ chiede di poter ottenere una rateazione del pagamento di fr. 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parziale accoglimento dellistanza è concesso il pagamento della somma di fr. 700.-- pari alla multa, tassa di giustizia e spese giudiziarie, inflitta con DAP __________/__________del __________ 2002,in 10rate mensili, la prima volta entro il 31 maggio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Via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