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20.2003.326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https://mcp.opencaselaw.ch/entscheid/ti_gerichte_20.2003.326</w:t>
      </w:r>
    </w:p>
    <w:p>
      <w:r>
        <w:t>FR: TI_GERICHTE 20.2003.326 du 2 septembre 2003</w:t>
      </w:r>
    </w:p>
    <w:p>
      <w:r>
        <w:t>IT: TI_GERICHTE 20.2003.326 del 2 settembre 2003</w:t>
      </w:r>
    </w:p>
    <w:p>
      <w:pPr>
        <w:pStyle w:val="Heading2"/>
      </w:pPr>
      <w:r>
        <w:t>Volltext</w:t>
      </w:r>
    </w:p>
    <w:p>
      <w:r>
        <w:t>Incarto n.20.2003.326</w:t>
      </w:r>
    </w:p>
    <w:p>
      <w:r>
        <w:t>DAP 778/2001</w:t>
      </w:r>
    </w:p>
    <w:p>
      <w:r>
        <w:t>Bellinzona</w:t>
      </w:r>
    </w:p>
    <w:p>
      <w:r>
        <w:t>2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____________________,nato il __________.1980, di __________ e __________ n. __________, attinente di __________ /__________, domiciliato a __________, Via __________, celibe,</w:t>
      </w:r>
    </w:p>
    <w:p>
      <w:r>
        <w:t>richiamata                         la sentenza 2 luglio 2001, mediante la quale gli è stata inflitta una multa di fr. 600.--;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12 maggio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Pretura del Distretto di __________, di commutazione della multa in arresto èaccolta.</w:t>
      </w:r>
    </w:p>
    <w:p>
      <w:r>
        <w:t>Di conseguenza la multa di fr. 600.-- inflitta a____________________,nato il __________.1980, di __________ e __________ n. __________, attinente di __________ /__________, domiciliato a __________, Via __________ __________, celibe, con 2 luglio 2001,è commutata in 20giorni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Pretura del Distretto di Bellinzona,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