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20.2003.21 vom 23. Januar 2003</w:t>
      </w:r>
    </w:p>
    <w:p>
      <w:r>
        <w:t>TI Tribunale d'appello, 2003-01-23, IT</w:t>
      </w:r>
    </w:p>
    <w:p>
      <w:r>
        <w:rPr>
          <w:b/>
        </w:rPr>
        <w:t xml:space="preserve">Quelle: </w:t>
      </w:r>
      <w:r>
        <w:t>https://mcp.opencaselaw.ch/entscheid/ti_gerichte_20.2003.21</w:t>
      </w:r>
    </w:p>
    <w:p>
      <w:r>
        <w:t>FR: TI_GERICHTE 20.2003.21 du 23 janvier 2003</w:t>
      </w:r>
    </w:p>
    <w:p>
      <w:r>
        <w:t>IT: TI_GERICHTE 20.2003.21 del 23 gennaio 2003</w:t>
      </w:r>
    </w:p>
    <w:p>
      <w:pPr>
        <w:pStyle w:val="Heading2"/>
      </w:pPr>
      <w:r>
        <w:t>Volltext</w:t>
      </w:r>
    </w:p>
    <w:p>
      <w:r>
        <w:t>Incarto n.20.2003.21</w:t>
      </w:r>
    </w:p>
    <w:p>
      <w:r>
        <w:t>DAP 1482/2002</w:t>
      </w:r>
    </w:p>
    <w:p>
      <w:r>
        <w:t>Bellinzona</w:t>
      </w:r>
    </w:p>
    <w:p>
      <w:r>
        <w:t>23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____________________, __________.__________.__________, di __________ e __________ n. __________, nato a __________ /TI, attinente di __________ __________ /TI, domiciliato a __________, Via __________ __________, celibe, __________</w:t>
      </w:r>
    </w:p>
    <w:p>
      <w:r>
        <w:t>per il reato diinfrazione alle norme della circolazione, fuga dopo incidente, contravvenzione alla LF sugli stupefacenti</w:t>
      </w:r>
    </w:p>
    <w:p>
      <w:r>
        <w:t>reati previsti dagli art. 90 Cifra 1 LCS, art. 92 cpv. 2 LCS, art. 19a LS</w:t>
      </w:r>
    </w:p>
    <w:p>
      <w:r>
        <w:t>ed ora                                          per statuire sullistanza 3 gennaio 2003 con la quale __________ __________ chiede di poter ottenere una rateazione del pagamento di fr.pari alla multa, tassa di giustizia e spese giudiziarie, inflittagli con il decreto menzionato;</w:t>
      </w:r>
    </w:p>
    <w:p>
      <w:r>
        <w:t>considerato che:                -      giusta lart. 347 cpv. 1 lett. b) CPP, il giudice della Pretura penale è competente a concedere al condannato la facoltà di pagare la multa a rate e a fissarne limporto e le scadenze;</w:t>
      </w:r>
    </w:p>
    <w:p>
      <w:r>
        <w:t>-      dagli atti risulta in effetti che __________ __________ non è in grado di operare il versamento della multa in un unico importo;</w:t>
      </w:r>
    </w:p>
    <w:p>
      <w:r>
        <w:t>-      la proposta dell'istante risulta tuttavia inaccettabile, poiché dilazionerebbe oltremisura l'incasso del dovuto;</w:t>
      </w:r>
    </w:p>
    <w:p>
      <w:r>
        <w:t>-      una dilazione di 10 mesi appare sufficiente per far fronte all'obbligo di pagamento, ammontando l'importo di ogni rata ad una cifra ragionevole;</w:t>
      </w:r>
    </w:p>
    <w:p>
      <w:r>
        <w:t>richiamato                                  lart. 347 CPP,</w:t>
      </w:r>
    </w:p>
    <w:p>
      <w:r>
        <w:t>decreta:1.In parziale accoglimento dellistanza è concesso il pagamento della multa di fr.pari alla multa, tassa di giustizia e spese giudiziarie, inflitta con DAP __________/____________________ __________ __________ 2002,in 10rate mensili, la prima volta entro il 28 febbraio 2003.</w:t>
      </w:r>
    </w:p>
    <w:p>
      <w:r>
        <w:t>2.Intimazione come di rito a:</w:t>
      </w:r>
    </w:p>
    <w:p>
      <w:r>
        <w:t>__________ __________, Via __________ __________, __________,</w:t>
      </w:r>
    </w:p>
    <w:p>
      <w:r>
        <w:t>Procuratore pubblico Mario Branda, __________, __________,</w:t>
      </w:r>
    </w:p>
    <w:p>
      <w:r>
        <w:t>Il presidente:                       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