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17.2017.130 vom 4. Juli 2017</w:t>
      </w:r>
    </w:p>
    <w:p>
      <w:r>
        <w:t>TI Tribunale d'appello, 2017-07-04, IT</w:t>
      </w:r>
    </w:p>
    <w:p>
      <w:r>
        <w:rPr>
          <w:b/>
        </w:rPr>
        <w:t xml:space="preserve">Quelle: </w:t>
      </w:r>
      <w:r>
        <w:t>https://mcp.opencaselaw.ch/entscheid/ti_gerichte_17.2017.130</w:t>
      </w:r>
    </w:p>
    <w:p>
      <w:r>
        <w:t>FR: TI_GERICHTE 17.2017.130 du 4 juillet 2017</w:t>
      </w:r>
    </w:p>
    <w:p>
      <w:r>
        <w:t>IT: TI_GERICHTE 17.2017.130 del 4 luglio 2017</w:t>
      </w:r>
    </w:p>
    <w:p>
      <w:pPr>
        <w:pStyle w:val="Heading2"/>
      </w:pPr>
      <w:r>
        <w:t>Regeste</w:t>
      </w:r>
    </w:p>
    <w:p>
      <w:r>
        <w:t>Se procedura di 2do grado avviata da AP, Stato non ha alcuna responsabilitâ. Indennitâ spese patrocinio accollate ad AP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Per gli interessi moratori sono applicabili le disposizioni generali del CO e, pertanto, essi vanno riconosciuti al tasso del 5% (art. 104 cpv. 1 CO) dalla prima interpellazione agli atti (art. 102 CO), ossia, nel caso concreto e per la procedura di primo grado, dall’introduzione, in data 5 giugno 2015, dell’opposizione al decreto d’accusa e per l’appello,  dall’introduzione, in data 25 ottobre 2016, delle osservazioni. Spese</w:t>
      </w:r>
    </w:p>
    <w:p>
      <w:r>
        <w:rPr>
          <w:b/>
        </w:rPr>
        <w:t>E. 5</w:t>
      </w:r>
    </w:p>
    <w:p>
      <w:r>
        <w:t>Le spese della procedura di primo grado rimangono a carico dello Stato. Quelle della procedura d’appello, in applicazione dell’art. 427 cpv. 2 CPP, vanno, invece, poste a carico degli AP. Per questi motivi, visti gli art. 177 CP, 426, 429, 432, 433 CPP nonché sulle spese e sulle ripetibili l’art. 428 CPP e la LTG dichiara e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