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17.2015.187 vom 21. April 2016</w:t>
      </w:r>
    </w:p>
    <w:p>
      <w:r>
        <w:t>TI Tribunale d'appello, 2016-04-21, IT</w:t>
      </w:r>
    </w:p>
    <w:p>
      <w:r>
        <w:rPr>
          <w:b/>
        </w:rPr>
        <w:t xml:space="preserve">Quelle: </w:t>
      </w:r>
      <w:r>
        <w:t>https://mcp.opencaselaw.ch/entscheid/ti_gerichte_17.2015.187</w:t>
      </w:r>
    </w:p>
    <w:p>
      <w:r>
        <w:t>FR: TI_GERICHTE 17.2015.187 du 21 avril 2016</w:t>
      </w:r>
    </w:p>
    <w:p>
      <w:r>
        <w:t>IT: TI_GERICHTE 17.2015.187 del 21 aprile 2016</w:t>
      </w:r>
    </w:p>
    <w:p>
      <w:pPr>
        <w:pStyle w:val="Heading2"/>
      </w:pPr>
      <w:r>
        <w:t>Regeste</w:t>
      </w:r>
    </w:p>
    <w:p>
      <w:r>
        <w:t>Cacciatore che, alla vista di due guardiacaccia, si da alla fuga abbandonando le prede indebitamente cacciate e fa perdere le sua tracce si rende colpevole di impedimento di atti dell'autorità, infrazione alla Legge federale sulla caccia e contravvenzione alla Legge cantonale sulla caccia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aliquote giornaliere di fr. 120.- cadauna, per un totale di fr. 1’800.- (milleottocento); 1.2.2. alla multa di fr. 300.- (trecento), con l’avvertenza che, in caso di mancato pagamento, la pena detentiva sostitutiva è fissata in giorni 3 (tre); 1.2.3. al pagamento delle tasse e spese giudiziarie di complessivi fr. 1'470.- (millequattrocentosettanta) per il procedimento di primo grado. 2. L’esecuzione della pena pecuniaria è sospesa condizionalmente per un periodo di prova di 2 anni. 3.   AP 1 è condannato a versare allo Stato, Fondo di intervento selvaggina, l’importo di fr. 500.- (cinquecento) a valere quale risarcimento del danno. 4. Non si assegnano indennità ex art. 429 CPP. 5. Gli oneri processuali d’appello, consistenti in: -  tassa di giustizia                    fr.        1’000.- -  altri disborsi                            fr.           200.- fr.        1'200.- sono posti a carico di AP 1. 6. Intimazione a: 7. Comunicazione a: -  Pretura penale, 6501 Bellinzona -   Comando della Polizia cantonale, 6500 Bellinzona -   Ministero pubblico SERCO, 6501 Bellinzona -   Ufficio del Giudice dei provvedimenti coercitivi, 6900 Lugano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