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17.2014.3 vom 22. August 2014</w:t>
      </w:r>
    </w:p>
    <w:p>
      <w:r>
        <w:t>TI Tribunale d'appello, 2014-08-22, IT</w:t>
      </w:r>
    </w:p>
    <w:p>
      <w:r>
        <w:rPr>
          <w:b/>
        </w:rPr>
        <w:t xml:space="preserve">Quelle: </w:t>
      </w:r>
      <w:r>
        <w:t>https://mcp.opencaselaw.ch/entscheid/ti_gerichte_17.2014.3</w:t>
      </w:r>
    </w:p>
    <w:p>
      <w:r>
        <w:t>FR: TI_GERICHTE 17.2014.3 du 22 août 2014</w:t>
      </w:r>
    </w:p>
    <w:p>
      <w:r>
        <w:t>IT: TI_GERICHTE 17.2014.3 del 22 agosto 2014</w:t>
      </w:r>
    </w:p>
    <w:p>
      <w:pPr>
        <w:pStyle w:val="Heading2"/>
      </w:pPr>
      <w:r>
        <w:t>Regeste</w:t>
      </w:r>
    </w:p>
    <w:p>
      <w:r>
        <w:t>Motivo di revisione di cui all'art. 410 cpv. 1 lett. a CPP. Nozioni di fatto o mezzo di prova "nuovo" e "rilevante". Quando una domanda di revisione ai sensi del citato disposto è abusiva</w:t>
      </w:r>
    </w:p>
    <w:p>
      <w:pPr>
        <w:pStyle w:val="Heading2"/>
      </w:pPr>
      <w:r>
        <w:t>Erwägungen</w:t>
      </w:r>
    </w:p>
    <w:p>
      <w:r>
        <w:rPr>
          <w:b/>
        </w:rPr>
        <w:t>E. 1</w:t>
      </w:r>
    </w:p>
    <w:p>
      <w:r>
        <w:t>L’art. 411 cpv. 1 CPP prevede che le istanze di revisione vanno presentate e motivate per scritto al Tribunale d’appello. La decisione sulle stesse compete, dunque, a questa Corte.</w:t>
      </w:r>
    </w:p>
    <w:p>
      <w:r>
        <w:rPr>
          <w:b/>
        </w:rPr>
        <w:t>E. 2</w:t>
      </w:r>
    </w:p>
    <w:p>
      <w:r>
        <w:t>Per l’art. 410 cpv. 1 lett. a CPP, chi è aggravato da una sentenza passata in giudicato, da un decreto d’accusa, da una decisione giudiziaria successiva o da una decisione emanata nella procedura indipendente in materia di misure può chiedere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Ginevra/Zurigo/Basilea 2011, n. 2093; DTF 130 IV 72 consid. 1; 122 IV 66 consid. 2a, 120 IV 246 consid. 2a, 117 IV 40 consid. 2a pag. 47,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nota 2093 e seg.; DTF 122 IV 66 consid. 2b; STF 6B_114/2007 del 6 settembre 2007 consid. 4).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b) È generalmente riconosciuto che una revisione non deve servire a rimettere continuamente in discussione una decisione passata in giudicato, a raggirare disposizioni legali sui termini di ricorso o sulla loro restituzione, oppure a introdurre dei fatti o delle prove non presentati nel procedimento di primo grado in ragione di una negligenza procedurale (cfr. DTF 130 IV 72, consid. 2.2; Heer, op. cit., ad art. 410 n. 42). In simili casi vi è in effetti un abuso di diritto che, ai sensi dell’art. 3 cpv. 2 lett. b CPP, non può trovare tutela alcuna. Il TF ha in particolare già avuto modo di osservare che una domanda di revisione diretta contro un decreto d’accusa deve essere dichiarata abusiva se essa si fonda su fatti che l’istante conosceva già inizialmente, che non aveva alcuna ragione legittima di sottacere e che avrebbe potuto rivelare in una procedura ordinaria avviata con una semplice opposizione (DTF 130 IV 72 consid. 2.3; STF 6B_54/2014 del 24 aprile 2014, consid. 3; STF 6B_310/2011 del 20 giugno 2011, consid. 11.3).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6B_54/2014 del 24 aprile 2014, consid. 3; STF 6B_310/2011 del 20 giugno 2011, consid. 11.3).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l’ordonnance pénale, in RPS 94/1977, pag. 426 citato in DTF 130 IV 72 consid. 2.3).</w:t>
      </w:r>
    </w:p>
    <w:p>
      <w:r>
        <w:rPr>
          <w:b/>
        </w:rPr>
        <w:t>E. 3</w:t>
      </w:r>
    </w:p>
    <w:p>
      <w:r>
        <w:t>In concreto, l’istante, come visto, fonda la propria istanza su due distinti mezzi di prova: la testimonianza di __________ e le fotografie allegate allo scritto 27 gennaio 2014 (doc. F e G, allegate al doc. CARP IV). Ora, per quanto riguarda dapprima le fotografie, si osserva che - contrariamente a quanto sembra sostenere IS 1 nel suo scritto 27 gennaio 2014 - esse sono identiche a quelle già agli atti del procedimento penale a suo carico (cfr. in part. la prima e la secondo foto contenute nell’incarto penale richiamato da questa Corte alla Sezione della circolazione, doc. CARP VI, cfr. anche le foto allegate alle sue osservazioni 26 giugno 2012 pure in doc. CARP VI). Ritenuto che - vista l’esiguità dell’incarto - nemmeno è possibile ritenere che le fotografie siano rimaste sconosciute alla Sezione della circolazione (ciò che l’istante del resto non pretende), forza è concludere che esse non rivestono alcun carattere di novità. Nemmeno l’istanza può essere accolta per quanto riguarda le dichiarazioni di __________. Nelle sue osservazioni 26 giugno 2012 (allegate al doc. CARP VI), IS 1 aveva infatti spiegato alla Sezione della circolazione di avere “un testimone che ha assistito all’accaduto e che potrà confermare che il motociclista poteva ed aveva tutte le condizioni per potersi arrestare” . Che la persona cui allora faceva riferimento l’istante sia lo stesso __________ di cui alla domanda di revisione emerge dal suo scritto 27 gennaio 2014, nel quale egli ha più volte ribadito che __________ è “l’unico teste oculare dell’incidente” (cfr. doc. CARP IV, pag. 1 e 2). Da quanto precede discende che IS 1, già nel giugno 2012 - e dunque prima dell’emanazione del DA a suo carico - sapeva che __________ aveva assistito ai fatti e che poteva fornire ragguagli sulla dinamica dell’incidente. Ciononostante l’istante - inspiegabilmente (egli parla di “un’ingenuità” dovuta alla volontà di evitare “costi aggiuntivi a sé stesso e allo Stato” , cfr. istanza, pag. 2 e 4) - ha ritirato l’opposizione al DA, lasciando che esso acquisisse forza di cosa giudicata e precludendosi la possibilità di far assumere le deposizioni del teste in un procedimento dinanzi la Pretura penale. Come visto, la revisione non può assurgere a mezzo per rimediare ad inadempienze o ad errori di valutazione da parte del prevenuto, ciò che equivarrebbe a tollerare un suo comportamento contradditorio e irrispettoso della funzione del termine per l’inoltro dell’opposizione al DA che è quella di stabilire se la condanna è passata o meno in giudicato, garantendo così la sicurezza del diritto (DTF 130 IV 72 consid. 2.3). Solo di transenna è qui ancora il caso di osservare che non può essere seguito l’istante quando lamenta il fatto che le dichiarazioni di __________ non sono state prese in considerazione per il giudizio impugnato nonostante egli le avesse personalmente consegnate allo sportello dell’Ufficio giuridico della Sezione della circolazione (istanza di revisione, doc. CARP I, pag. 3). Dagli atti risulta, infatti, chiaramente che dette dichiarazioni (datate 10 ottobre 2012) sono posteriori all’emanazione del DA. Per tutte le considerazioni che precedono l’istanza di revisione di IS 1 deve essere respinta.</w:t>
      </w:r>
    </w:p>
    <w:p>
      <w:r>
        <w:rPr>
          <w:b/>
        </w:rPr>
        <w:t>E. 4</w:t>
      </w:r>
    </w:p>
    <w:p>
      <w:r>
        <w:t>Gli oneri processuali seguono la soccombenza (art. 428 cpv. 1 CPP) e sono posti a carico dell’istante. Per questi motivi, visti gli art.                      3 cpv. 2 lett. b, 81, 410 segg. CPP nonché, sulle spese e sulle ripetibili, l’art. 428 CPP e la LTG, pronuncia:              1. L’istanza di revisione è respinta. 2. Gli oneri processuali, consistenti in: -  tassa di giustizia                    fr.           500.- -  spese complessive                fr.           200.- fr.           700.- sono posti a carico dell’istante. 3.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