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17.2014.132 vom 21. November 2014</w:t>
      </w:r>
    </w:p>
    <w:p>
      <w:r>
        <w:t>TI Tribunale d'appello, 2014-11-21, IT</w:t>
      </w:r>
    </w:p>
    <w:p>
      <w:r>
        <w:rPr>
          <w:b/>
        </w:rPr>
        <w:t xml:space="preserve">Quelle: </w:t>
      </w:r>
      <w:r>
        <w:t>https://mcp.opencaselaw.ch/entscheid/ti_gerichte_17.2014.132</w:t>
      </w:r>
    </w:p>
    <w:p>
      <w:r>
        <w:t>FR: TI_GERICHTE 17.2014.132 du 21 novembre 2014</w:t>
      </w:r>
    </w:p>
    <w:p>
      <w:r>
        <w:t>IT: TI_GERICHTE 17.2014.132 del 21 novembre 2014</w:t>
      </w:r>
    </w:p>
    <w:p>
      <w:pPr>
        <w:pStyle w:val="Heading2"/>
      </w:pPr>
      <w:r>
        <w:t>Regeste</w:t>
      </w:r>
    </w:p>
    <w:p>
      <w:r>
        <w:t>Istanza di revisione respinta per assenza del motivo di cui all'art. 410 cpv. 1 lett. a CPP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revisione è respinta.</w:t>
      </w:r>
    </w:p>
    <w:p>
      <w:r>
        <w:rPr>
          <w:b/>
        </w:rPr>
        <w:t>E. 2</w:t>
      </w:r>
    </w:p>
    <w:p>
      <w:r>
        <w:t>Gli oneri processuali, consistenti in: -  tassa di giustizia                    fr.           500.- -  spese complessive                fr.              50.- fr.           550.- sono posti a carico dell’istante.</w:t>
      </w:r>
    </w:p>
    <w:p>
      <w:r>
        <w:rPr>
          <w:b/>
        </w:rPr>
        <w:t>E. 3</w:t>
      </w:r>
    </w:p>
    <w:p>
      <w:r>
        <w:t>Intimazione a: Per la Corte di appello e di revisione penale La presidente                                                        Il segretario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