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17.2013.3 vom 15. Juli 2013</w:t>
      </w:r>
    </w:p>
    <w:p>
      <w:r>
        <w:t>TI Tribunale d'appello, 2013-07-15, IT</w:t>
      </w:r>
    </w:p>
    <w:p>
      <w:r>
        <w:rPr>
          <w:b/>
        </w:rPr>
        <w:t xml:space="preserve">Quelle: </w:t>
      </w:r>
      <w:r>
        <w:t>https://mcp.opencaselaw.ch/entscheid/ti_gerichte_17.2013.3</w:t>
      </w:r>
    </w:p>
    <w:p>
      <w:r>
        <w:t>FR: TI_GERICHTE 17.2013.3 du 15 juillet 2013</w:t>
      </w:r>
    </w:p>
    <w:p>
      <w:r>
        <w:t>IT: TI_GERICHTE 17.2013.3 del 15 luglio 2013</w:t>
      </w:r>
    </w:p>
    <w:p>
      <w:pPr>
        <w:pStyle w:val="Heading2"/>
      </w:pPr>
      <w:r>
        <w:t>Regeste</w:t>
      </w:r>
    </w:p>
    <w:p>
      <w:r>
        <w:t>Incidente della circolazione; Principio accusatorio; Condanna per un altro tipo di negligenza rispetto a quella indicata nel decreto di accusa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Visto l’esito dell’appello, gli oneri del giudizio di prima e seconda sede vengono posti a carico dello Stato (art. 428 cpv. 4 CPP), che rifonderà all’appellante, a titolo di ripetibili, fr. 600.- per il giudizio di primo grado e fr. 400.- per il giudizio di appello. Per questi motivi, visti gli art.                       9, 80, 84, 350 cpv. 1, 353 cpv. 1 lett. c, 379 e segg., 398 e segg., 403 cpv. 1, 409 CPP, nonché, sulle spese e sulle ripetibili, l’art. 428 CPP e la LTG rispettivamente il Regolamento sulla tariffa per i casi di patrocinio d’ufficio e di assistenza giudiziaria e per la fissazione delle ripetibili, dichiara e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