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17.2013.23 vom 15. Juli 2013</w:t>
      </w:r>
    </w:p>
    <w:p>
      <w:r>
        <w:t>TI Tribunale d'appello, 2013-07-15, IT</w:t>
      </w:r>
    </w:p>
    <w:p>
      <w:r>
        <w:rPr>
          <w:b/>
        </w:rPr>
        <w:t xml:space="preserve">Quelle: </w:t>
      </w:r>
      <w:r>
        <w:t>https://mcp.opencaselaw.ch/entscheid/ti_gerichte_17.2013.23</w:t>
      </w:r>
    </w:p>
    <w:p>
      <w:r>
        <w:t>FR: TI_GERICHTE 17.2013.23 du 15 juillet 2013</w:t>
      </w:r>
    </w:p>
    <w:p>
      <w:r>
        <w:t>IT: TI_GERICHTE 17.2013.23 del 15 luglio 2013</w:t>
      </w:r>
    </w:p>
    <w:p>
      <w:pPr>
        <w:pStyle w:val="Heading2"/>
      </w:pPr>
      <w:r>
        <w:t>Volltext</w:t>
      </w:r>
    </w:p>
    <w:p>
      <w:r>
        <w:t>Incarto n.17.2013.23</w:t>
      </w:r>
    </w:p>
    <w:p>
      <w:r>
        <w:t>Locarno</w:t>
      </w:r>
    </w:p>
    <w:p>
      <w:r>
        <w:t>15 luglio 2013/mi</w:t>
      </w:r>
    </w:p>
    <w:p>
      <w:r>
        <w:t>In nomedella Repubblica e CantoneTicino</w:t>
      </w:r>
    </w:p>
    <w:p>
      <w:r>
        <w:t>La Corte di appello e di revisione penale</w:t>
      </w:r>
    </w:p>
    <w:p>
      <w:r>
        <w:t>composta dai giudici:</w:t>
      </w:r>
    </w:p>
    <w:p>
      <w:r>
        <w:t>Giovanna Roggero-Will, presidente,</w:t>
      </w:r>
    </w:p>
    <w:p>
      <w:r>
        <w:t>Damiano Stefani e Giovanni Celio</w:t>
      </w:r>
    </w:p>
    <w:p>
      <w:r>
        <w:t>segretario:</w:t>
      </w:r>
    </w:p>
    <w:p>
      <w:r>
        <w:t>Orio Filippini, vicecancelliere</w:t>
      </w:r>
    </w:p>
    <w:p>
      <w:r>
        <w:t>nellambito del procedimento penale condotto dal Ministero pubblico</w:t>
      </w:r>
    </w:p>
    <w:p>
      <w:r>
        <w:t>ed ora sedente per statuire nella procedura dappello avviata con annuncio del 14 dicembre 2012 da</w:t>
      </w:r>
    </w:p>
    <w:p>
      <w:r>
        <w:t>A. _______(AP)</w:t>
      </w:r>
    </w:p>
    <w:p>
      <w:r>
        <w:t>contro la sentenza emanata il 14 dicembre 2012 dalla Pretura penale di Bellinzona nei confronti di</w:t>
      </w:r>
    </w:p>
    <w:p>
      <w:r>
        <w:t>IM 1</w:t>
      </w:r>
    </w:p>
    <w:p>
      <w:r>
        <w:t>richiamata la dichiarazione di appello 30 gennaio 2013;</w:t>
      </w:r>
    </w:p>
    <w:p>
      <w:r>
        <w:t>Egli ne ha, pertanto, proposto la condanna alla pena pecuniaria - sospesa condizionalmente per un periodo di prova di 2 anni - di fr. 3'600. (corrispondente a 30 aliquote giornaliere di fr. 120. cadauna) e alla multa di fr. 300., oltre al pagamento della tassa di giustizia di fr. 200. e delle spese giudiziarie di fr. 100., proponendo inoltre il rinvio dell'accusatore privato al foro civile per le sue pretese.</w:t>
      </w:r>
    </w:p>
    <w:p>
      <w:r>
        <w:t>Contro il decreto d'accusa appena citato IM 1 ha sollevato tempestiva opposizione;</w:t>
      </w:r>
    </w:p>
    <w:p>
      <w:r>
        <w:t>Da qui il proscioglimento.</w:t>
      </w:r>
    </w:p>
    <w:p>
      <w:r>
        <w:t>a.Il reato presuppone una contraffazione a scopo di inganno e di indebito profitto. Lart. 251 CP non reprime solo la falsificazione di un documento (falso materiale) ma anche la redazione di un documento dal falso contenuto (falso ideologico). Nel primo caso lart. 251 CP esige che il documento falsificato sia un documento ai sensi dellart. 110 n. 4 CP, cioè sia uno scritto destinato ed atto a provare un fatto di portata giuridica e quindi destinato a provare il fatto falso, fermo restando però come non tutti gli scritti costituiscano necessariamente un documento ai sensi dellart. 251 CP in quanto occorre che dispongano di una certa forza probatoria (Trechsel/Pieth, Schweizerisches Strafgesetzbuch, Praxiskommentar, Zurigo/San Gallo 2013, vor art. 251 no. 3 e segg.; Corboz, Les infractions ed droit suisse, Berna 2010, 3a ed., Vol. II, art. 251 n. 15 e segg., DTF 96 IV 150 e 88 IV 33). Nel secondo caso ed in virtù della giurisprudenza del Tribunale federale la norma penale va applicata in modo restrittivo poiché la cosiddetta menzogna scritta trascende in reato solo dove, dal profilo oggettivo, il documento gode di particolare credibilità grazie al valore che la legge gli conferisce o per la qualità della persona che lo ha redatto quale funzionario, notaio, medico, architetto, ecc.(Trechsel/Pieth, op. cit., art. 251 n. 9, Stratenwerth/Bommer, Schweizerisches Strafrecht, Berna 2008, 6a ed., § 35 n. 12, DTF 123 IV 132 e 61).Si può prescindere da uninterpretazione restrittiva qualora il documento non sia inveritiero ma contraffatto perché la falsificazione è suscettibile di ingannare terze persone non solo sul contenuto, ma anche sulla persona dellautore ovvero sullorigine e lintegrità del documento stesso. Uno scritto può essere un documento per certi aspetti e non per altri. Va quindi esaminato se, secondo le circostanze, tale documento disponeva, tenuto conto in particolare della persona che lha redatto, di un valore probatorio accresciuto (DTF 123 IV 17, 122 IV 332, 121 IV 131 e 120 IV 122).</w:t>
      </w:r>
    </w:p>
    <w:p>
      <w:r>
        <w:t>Di esserne stato al corrente - poiché così informato da TE 1 ancor prima dell'allestimento dei bollettini di consegna - IM 1 aveva riferito nel suo verbale d'interrogatorio davanti al procuratore pubblico del 12 aprile 2011, pagina 2(avremmo mandato fattura a A. _______ giacché lui aveva già firmato in precedenza uno scritto nel quale riconosceva di dover ancora ad XXX il pagamento per lavori da lui svolti come dipendente dellazienda che non aveva provveduto ad incassare in contanti).</w:t>
      </w:r>
    </w:p>
    <w:p>
      <w:r>
        <w:t>Così IM 1 davanti alla Pretura penale:</w:t>
      </w:r>
    </w:p>
    <w:p>
      <w:r>
        <w:t>IM 1 postula, a questo titolo, la rifusione della nota professionale del suo patrocinatore di fiducia per la sede di appello che ammonta a fr. 5'200. (più IVA) senza formulare alcuna pretesa per quanto attiene agli interessi di mora. Detto importo corrisponde, applicando la tariffa oraria di fr. 280. stabilita dall'art. 12 del Regolamento sulla tariffa per i casi di patrocinio dufficio e di assistenza giudiziaria e per la fissazione delle ripetibili, ad un dispendio di 18 ore, cui si aggiungono fr. 200. di spese (più IVA).</w:t>
      </w:r>
    </w:p>
    <w:p>
      <w:r>
        <w:t>Premesso che il procedimento penale in questione giustificava senz'altro, viste le problematiche giuridiche sollevate, il patrocinio di un legale, la richiesta d'indennità appare comunque eccessiva.</w:t>
      </w:r>
    </w:p>
    <w:p>
      <w:r>
        <w:t>In effetti, se un onorario più o meno analogo a quello in esame si giustificava per il processo di primo grado, esso appare invece troppo alto per l'assistenza legale in sede di appello, ritenuto che il materiale istruttorio, così come i temi giuridici e la linea difensiva erano stati approfonditi dal legale appena quattro mesi prima.</w:t>
      </w:r>
    </w:p>
    <w:p>
      <w:r>
        <w:t>In questi termini, deve ritenersi adeguata un'indennità corrispondente a 8 ore di studio e preparazione del processo, oltre a 3 ore e mezza di partecipazione al dibattimento e 2 ore di trasferta, per un totale di fr. 3'780.. Le spese di fr. 200. sono di contro perfettamente giustificate così come esposte.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  Divisione della giustizia, 6501 Bellinzona</w:t>
      </w:r>
    </w:p>
    <w:p>
      <w:r>
        <w:t>Per la Corte di appello e di revisione penale</w:t>
      </w:r>
    </w:p>
    <w:p>
      <w:r>
        <w:t>La presidente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